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22" w:rsidRPr="00042869" w:rsidRDefault="00116F33" w:rsidP="001F6CD2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042869">
        <w:rPr>
          <w:rFonts w:eastAsia="標楷體" w:hAnsi="標楷體"/>
          <w:b/>
          <w:sz w:val="36"/>
          <w:szCs w:val="36"/>
        </w:rPr>
        <w:t>第</w:t>
      </w:r>
      <w:r w:rsidR="00F863B3" w:rsidRPr="00042869">
        <w:rPr>
          <w:rFonts w:eastAsia="標楷體" w:hAnsi="標楷體"/>
          <w:b/>
          <w:sz w:val="36"/>
          <w:szCs w:val="36"/>
        </w:rPr>
        <w:t>十五</w:t>
      </w:r>
      <w:r w:rsidR="00D13122" w:rsidRPr="00042869">
        <w:rPr>
          <w:rFonts w:eastAsia="標楷體" w:hAnsi="標楷體"/>
          <w:b/>
          <w:sz w:val="36"/>
          <w:szCs w:val="36"/>
        </w:rPr>
        <w:t>屆口筆譯教學研討會議程</w:t>
      </w:r>
      <w:r w:rsidR="00F863B3" w:rsidRPr="00042869">
        <w:rPr>
          <w:rFonts w:eastAsia="標楷體"/>
          <w:b/>
        </w:rPr>
        <w:t>99</w:t>
      </w:r>
      <w:r w:rsidR="00D13122" w:rsidRPr="00042869">
        <w:rPr>
          <w:rFonts w:eastAsia="標楷體" w:hAnsi="標楷體"/>
          <w:b/>
        </w:rPr>
        <w:t>年</w:t>
      </w:r>
      <w:r w:rsidRPr="00042869">
        <w:rPr>
          <w:rFonts w:eastAsia="標楷體"/>
          <w:b/>
        </w:rPr>
        <w:t>12</w:t>
      </w:r>
      <w:r w:rsidR="00D13122" w:rsidRPr="00042869">
        <w:rPr>
          <w:rFonts w:eastAsia="標楷體" w:hAnsi="標楷體"/>
          <w:b/>
        </w:rPr>
        <w:t>月</w:t>
      </w:r>
      <w:r w:rsidR="00F863B3" w:rsidRPr="00042869">
        <w:rPr>
          <w:rFonts w:eastAsia="標楷體"/>
          <w:b/>
        </w:rPr>
        <w:t>17</w:t>
      </w:r>
      <w:r w:rsidR="00F863B3" w:rsidRPr="00042869">
        <w:rPr>
          <w:rFonts w:eastAsia="標楷體" w:hAnsi="標楷體"/>
          <w:b/>
        </w:rPr>
        <w:t>日（星期五</w:t>
      </w:r>
      <w:r w:rsidR="00D13122" w:rsidRPr="00042869">
        <w:rPr>
          <w:rFonts w:eastAsia="標楷體" w:hAnsi="標楷體"/>
          <w:b/>
        </w:rPr>
        <w:t>）</w:t>
      </w: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"/>
        <w:gridCol w:w="851"/>
        <w:gridCol w:w="851"/>
        <w:gridCol w:w="1842"/>
        <w:gridCol w:w="142"/>
        <w:gridCol w:w="1559"/>
        <w:gridCol w:w="284"/>
        <w:gridCol w:w="850"/>
        <w:gridCol w:w="993"/>
        <w:gridCol w:w="1804"/>
        <w:gridCol w:w="38"/>
        <w:gridCol w:w="1483"/>
      </w:tblGrid>
      <w:tr w:rsidR="00D13122" w:rsidRPr="00840083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D13122" w:rsidRPr="009C66AA" w:rsidRDefault="00F10C89" w:rsidP="00971F6F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9C66AA">
              <w:rPr>
                <w:rFonts w:eastAsia="標楷體"/>
                <w:b/>
                <w:bCs/>
                <w:color w:val="000000"/>
                <w:sz w:val="18"/>
                <w:szCs w:val="18"/>
              </w:rPr>
              <w:t>主題</w:t>
            </w:r>
          </w:p>
        </w:tc>
        <w:tc>
          <w:tcPr>
            <w:tcW w:w="9846" w:type="dxa"/>
            <w:gridSpan w:val="10"/>
            <w:vAlign w:val="center"/>
          </w:tcPr>
          <w:p w:rsidR="00D13122" w:rsidRPr="002C6137" w:rsidRDefault="005F3715" w:rsidP="00971F6F">
            <w:pPr>
              <w:spacing w:line="200" w:lineRule="exact"/>
              <w:jc w:val="both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回顧與前瞻</w:t>
            </w:r>
          </w:p>
        </w:tc>
      </w:tr>
      <w:tr w:rsidR="00F10C89" w:rsidRPr="00840083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F10C89" w:rsidRPr="002C6137" w:rsidRDefault="00F10C89" w:rsidP="00971F6F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09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00-09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46" w:type="dxa"/>
            <w:gridSpan w:val="10"/>
            <w:vAlign w:val="center"/>
          </w:tcPr>
          <w:p w:rsidR="00F10C89" w:rsidRPr="002C6137" w:rsidRDefault="00F10C89" w:rsidP="00971F6F">
            <w:pPr>
              <w:spacing w:line="200" w:lineRule="exact"/>
              <w:jc w:val="both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報</w:t>
            </w:r>
            <w:r w:rsidRPr="002C6137">
              <w:rPr>
                <w:rFonts w:eastAsia="標楷體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到</w:t>
            </w:r>
            <w:r w:rsidRPr="002C6137">
              <w:rPr>
                <w:rFonts w:eastAsia="標楷體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5859"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（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行政大樓</w:t>
            </w:r>
            <w:r w:rsidRPr="002C6137">
              <w:rPr>
                <w:rFonts w:eastAsia="標楷體"/>
                <w:b/>
                <w:bCs/>
                <w:color w:val="000000"/>
                <w:sz w:val="18"/>
                <w:szCs w:val="18"/>
              </w:rPr>
              <w:t>6F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國際會議廳）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880525" w:rsidRPr="002C6137" w:rsidRDefault="00880525" w:rsidP="00971F6F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09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30-09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846" w:type="dxa"/>
            <w:gridSpan w:val="10"/>
            <w:shd w:val="clear" w:color="auto" w:fill="FFFFFF"/>
            <w:vAlign w:val="center"/>
          </w:tcPr>
          <w:p w:rsidR="00880525" w:rsidRPr="002C6137" w:rsidRDefault="00880525" w:rsidP="00971F6F">
            <w:pPr>
              <w:spacing w:line="200" w:lineRule="exact"/>
              <w:jc w:val="both"/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開幕致詞：陳錦生校長（長榮大學校長）</w:t>
            </w:r>
            <w:r w:rsidR="00C35859"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李憲榮教授（</w:t>
            </w:r>
            <w:r w:rsidR="002C6137" w:rsidRPr="00163FC9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長榮大學翻譯學系前主任、</w:t>
            </w:r>
            <w:r w:rsidR="00F829EB" w:rsidRPr="00163FC9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台灣</w:t>
            </w:r>
            <w:r w:rsidRPr="00163FC9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翻譯學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學會理事長）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880525" w:rsidRPr="002C6137" w:rsidRDefault="00880525" w:rsidP="00971F6F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09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35-10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46" w:type="dxa"/>
            <w:gridSpan w:val="10"/>
            <w:shd w:val="clear" w:color="auto" w:fill="FFFFFF"/>
            <w:vAlign w:val="center"/>
          </w:tcPr>
          <w:p w:rsidR="00880525" w:rsidRPr="002C6137" w:rsidRDefault="00880525" w:rsidP="00971F6F">
            <w:pPr>
              <w:spacing w:line="200" w:lineRule="exact"/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Keynote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：</w:t>
            </w:r>
            <w:r w:rsidR="00C35859"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陳瑞清</w:t>
            </w:r>
            <w:r w:rsidR="00C35859"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教授（</w:t>
            </w:r>
            <w:r w:rsidR="00C35859"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美國加州蒙特雷國際研究學院口筆譯暨語言教育研究所助理教授、中文系系主任</w:t>
            </w:r>
            <w:r w:rsidR="00C35859"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:rsidR="0070258D" w:rsidRPr="002C6137" w:rsidRDefault="0070258D" w:rsidP="00971F6F">
            <w:pPr>
              <w:spacing w:line="200" w:lineRule="exact"/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演講主題：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語料庫在口筆譯教學與研究上的應用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880525" w:rsidRPr="002C6137" w:rsidRDefault="00880525" w:rsidP="00971F6F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10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25-10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46" w:type="dxa"/>
            <w:gridSpan w:val="10"/>
            <w:shd w:val="clear" w:color="auto" w:fill="FFFFFF"/>
            <w:vAlign w:val="center"/>
          </w:tcPr>
          <w:p w:rsidR="00880525" w:rsidRPr="002C6137" w:rsidRDefault="00880525" w:rsidP="00971F6F">
            <w:pPr>
              <w:spacing w:line="200" w:lineRule="exact"/>
              <w:jc w:val="both"/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茶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敘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173" w:type="dxa"/>
            <w:gridSpan w:val="2"/>
            <w:shd w:val="clear" w:color="auto" w:fill="FFFF99"/>
            <w:vAlign w:val="center"/>
          </w:tcPr>
          <w:p w:rsidR="00880525" w:rsidRPr="002C6137" w:rsidRDefault="00880525" w:rsidP="00787790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場</w:t>
            </w:r>
            <w:r w:rsidRPr="002C6137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2C6137">
              <w:rPr>
                <w:rFonts w:eastAsia="標楷體" w:hAnsi="標楷體"/>
                <w:b/>
                <w:color w:val="000000"/>
                <w:sz w:val="18"/>
                <w:szCs w:val="18"/>
              </w:rPr>
              <w:t>區</w:t>
            </w:r>
          </w:p>
        </w:tc>
        <w:tc>
          <w:tcPr>
            <w:tcW w:w="4394" w:type="dxa"/>
            <w:gridSpan w:val="4"/>
            <w:shd w:val="clear" w:color="auto" w:fill="FFFF99"/>
            <w:vAlign w:val="center"/>
          </w:tcPr>
          <w:p w:rsidR="00880525" w:rsidRPr="002C6137" w:rsidRDefault="00880525" w:rsidP="002C6137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/>
                <w:b/>
                <w:bCs/>
                <w:color w:val="000000"/>
                <w:sz w:val="18"/>
                <w:szCs w:val="18"/>
              </w:rPr>
              <w:t>A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場地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(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行政大樓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4F)</w:t>
            </w:r>
          </w:p>
        </w:tc>
        <w:tc>
          <w:tcPr>
            <w:tcW w:w="5452" w:type="dxa"/>
            <w:gridSpan w:val="6"/>
            <w:shd w:val="clear" w:color="auto" w:fill="92CDDC"/>
            <w:vAlign w:val="center"/>
          </w:tcPr>
          <w:p w:rsidR="00880525" w:rsidRPr="002C6137" w:rsidRDefault="00880525" w:rsidP="00787790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B</w:t>
            </w: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場地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（行政大樓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6F</w:t>
            </w:r>
            <w:r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22" w:type="dxa"/>
            <w:shd w:val="clear" w:color="auto" w:fill="FFFF99"/>
            <w:vAlign w:val="center"/>
          </w:tcPr>
          <w:p w:rsidR="00880525" w:rsidRPr="00840083" w:rsidRDefault="00880525" w:rsidP="00BF59DB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40083">
              <w:rPr>
                <w:rFonts w:eastAsia="標楷體" w:hAnsi="標楷體"/>
                <w:b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E315AE" w:rsidRDefault="00880525" w:rsidP="00BF59DB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color w:val="000000"/>
                <w:sz w:val="20"/>
                <w:szCs w:val="20"/>
              </w:rPr>
              <w:t>時程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主持人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發表人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論文題目</w:t>
            </w:r>
          </w:p>
        </w:tc>
        <w:tc>
          <w:tcPr>
            <w:tcW w:w="284" w:type="dxa"/>
            <w:shd w:val="clear" w:color="auto" w:fill="92CDDC"/>
            <w:vAlign w:val="center"/>
          </w:tcPr>
          <w:p w:rsidR="00880525" w:rsidRPr="00E315AE" w:rsidRDefault="00880525" w:rsidP="00BF59DB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場次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E315AE" w:rsidRDefault="00880525" w:rsidP="00BF59DB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color w:val="000000"/>
                <w:sz w:val="20"/>
                <w:szCs w:val="20"/>
              </w:rPr>
              <w:t>時程</w:t>
            </w:r>
          </w:p>
        </w:tc>
        <w:tc>
          <w:tcPr>
            <w:tcW w:w="993" w:type="dxa"/>
            <w:shd w:val="clear" w:color="auto" w:fill="92CDDC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主持人</w:t>
            </w:r>
          </w:p>
        </w:tc>
        <w:tc>
          <w:tcPr>
            <w:tcW w:w="1804" w:type="dxa"/>
            <w:shd w:val="clear" w:color="auto" w:fill="92CDDC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發表人</w:t>
            </w:r>
          </w:p>
        </w:tc>
        <w:tc>
          <w:tcPr>
            <w:tcW w:w="1521" w:type="dxa"/>
            <w:gridSpan w:val="2"/>
            <w:shd w:val="clear" w:color="auto" w:fill="92CDDC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論文題目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" w:type="dxa"/>
            <w:vMerge w:val="restart"/>
            <w:shd w:val="clear" w:color="auto" w:fill="FFFF99"/>
            <w:vAlign w:val="center"/>
          </w:tcPr>
          <w:p w:rsidR="00880525" w:rsidRPr="00840083" w:rsidRDefault="00880525" w:rsidP="000A7F83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第</w:t>
            </w:r>
          </w:p>
          <w:p w:rsidR="00880525" w:rsidRPr="00840083" w:rsidRDefault="00880525" w:rsidP="000A7F83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/>
                <w:b/>
                <w:color w:val="000000"/>
                <w:sz w:val="20"/>
                <w:szCs w:val="20"/>
              </w:rPr>
              <w:t>1</w:t>
            </w:r>
          </w:p>
          <w:p w:rsidR="00880525" w:rsidRPr="00840083" w:rsidRDefault="00880525" w:rsidP="000A7F83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場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8A7087">
            <w:pPr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10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40-11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0525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16"/>
                <w:szCs w:val="16"/>
              </w:rPr>
              <w:t>許正義</w:t>
            </w:r>
          </w:p>
          <w:p w:rsidR="00880525" w:rsidRPr="00840083" w:rsidRDefault="00880525" w:rsidP="00D0292B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411A06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411A06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高雄第一科技大學</w:t>
            </w:r>
            <w:r w:rsidRPr="00411A06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劉素勳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崇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佑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技術學院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525" w:rsidRPr="00E315AE" w:rsidRDefault="00880525" w:rsidP="00FF5ECA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由蘭花舟到彤管</w:t>
            </w:r>
            <w:r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：</w:t>
            </w:r>
          </w:p>
          <w:p w:rsidR="00880525" w:rsidRDefault="00880525" w:rsidP="00FF5ECA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中國古典時期女作家</w:t>
            </w:r>
          </w:p>
          <w:p w:rsidR="00880525" w:rsidRPr="00E315AE" w:rsidRDefault="00880525" w:rsidP="00FF5ECA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的英譯形象</w:t>
            </w:r>
          </w:p>
        </w:tc>
        <w:tc>
          <w:tcPr>
            <w:tcW w:w="284" w:type="dxa"/>
            <w:vMerge w:val="restart"/>
            <w:shd w:val="clear" w:color="auto" w:fill="92CDDC"/>
            <w:vAlign w:val="center"/>
          </w:tcPr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第</w:t>
            </w:r>
          </w:p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/>
                <w:b/>
                <w:color w:val="000000"/>
                <w:sz w:val="20"/>
                <w:szCs w:val="20"/>
              </w:rPr>
              <w:t>2</w:t>
            </w:r>
          </w:p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場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587F1F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10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40-11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80525" w:rsidRDefault="00BA1751" w:rsidP="00D0292B">
            <w:pPr>
              <w:spacing w:line="200" w:lineRule="exact"/>
              <w:jc w:val="center"/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儲湘君</w:t>
            </w:r>
          </w:p>
          <w:p w:rsidR="00880525" w:rsidRPr="00840083" w:rsidRDefault="00880525" w:rsidP="00D0292B">
            <w:pPr>
              <w:spacing w:line="200" w:lineRule="exact"/>
              <w:jc w:val="center"/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彰化師範大學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陳慶民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教授</w:t>
            </w:r>
          </w:p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聖約翰科技大學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  <w:p w:rsidR="00880525" w:rsidRPr="00E315AE" w:rsidRDefault="00880525" w:rsidP="00D0292B">
            <w:pPr>
              <w:shd w:val="clear" w:color="auto" w:fill="FFFFFF"/>
              <w:spacing w:line="200" w:lineRule="exact"/>
              <w:jc w:val="center"/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廖柏森副教授</w:t>
            </w:r>
          </w:p>
          <w:p w:rsidR="00880525" w:rsidRPr="00E315AE" w:rsidRDefault="00880525" w:rsidP="00D0292B">
            <w:pPr>
              <w:shd w:val="clear" w:color="auto" w:fill="FFFFFF"/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（台灣師範大學）</w:t>
            </w:r>
          </w:p>
        </w:tc>
        <w:tc>
          <w:tcPr>
            <w:tcW w:w="1521" w:type="dxa"/>
            <w:gridSpan w:val="2"/>
            <w:shd w:val="clear" w:color="auto" w:fill="FFFFFF"/>
            <w:vAlign w:val="center"/>
          </w:tcPr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科學教科書</w:t>
            </w:r>
          </w:p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翻譯方法對讀者</w:t>
            </w:r>
          </w:p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理解程度的影響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8A7087">
            <w:pPr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00-11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邱雅瑜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研究生</w:t>
            </w:r>
          </w:p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輔仁大學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汝明麗助理教授</w:t>
            </w:r>
          </w:p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台灣師範大學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525" w:rsidRPr="00E315AE" w:rsidRDefault="00880525" w:rsidP="00FF5ECA">
            <w:pPr>
              <w:spacing w:line="160" w:lineRule="exact"/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從勒菲弗爾的翻譯理論看台灣文學之英譯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FC46F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587F1F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00-11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840083" w:rsidRDefault="00880525" w:rsidP="00D0292B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李恭蔚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教授</w:t>
            </w:r>
          </w:p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長榮大學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從世界史觀點看</w:t>
            </w:r>
          </w:p>
          <w:p w:rsidR="00880525" w:rsidRPr="00E315AE" w:rsidRDefault="00880525" w:rsidP="0060678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翻譯事業的發展：</w:t>
            </w:r>
          </w:p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回顧與前瞻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8A7087">
            <w:pPr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20-11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余淑慧博士候選人</w:t>
            </w:r>
          </w:p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台灣師範大學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525" w:rsidRPr="00E315AE" w:rsidRDefault="00880525" w:rsidP="00FF5ECA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譯筆如何傳神？</w:t>
            </w:r>
          </w:p>
          <w:p w:rsidR="00880525" w:rsidRPr="00E315AE" w:rsidRDefault="00880525" w:rsidP="00FF5ECA">
            <w:pPr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──讀《含英吐華》管見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FC46F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587F1F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20-11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840083" w:rsidRDefault="00880525" w:rsidP="00D0292B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鄭雅丰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（高雄第一科技大學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博士後研究員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史宗玲教授</w:t>
            </w:r>
          </w:p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（高雄第一科技大學）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翻譯的文化旅行：</w:t>
            </w:r>
          </w:p>
          <w:p w:rsidR="0060678B" w:rsidRDefault="00880525" w:rsidP="00D0292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以酷兒自傳體小說</w:t>
            </w:r>
          </w:p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『竊賊日記』為例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01291A">
            <w:pPr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40-12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陳采體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FF5ECA">
            <w:pPr>
              <w:spacing w:line="20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長榮大學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525" w:rsidRPr="00E315AE" w:rsidRDefault="00880525" w:rsidP="00FF5ECA">
            <w:pPr>
              <w:ind w:right="120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豬血糕，怎麼譯？</w:t>
            </w:r>
          </w:p>
          <w:p w:rsidR="00880525" w:rsidRPr="00E315AE" w:rsidRDefault="00880525" w:rsidP="00FF5ECA">
            <w:pPr>
              <w:ind w:right="120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談文化詞</w:t>
            </w:r>
          </w:p>
          <w:p w:rsidR="00880525" w:rsidRPr="00E315AE" w:rsidRDefault="00880525" w:rsidP="00FF5ECA">
            <w:pPr>
              <w:ind w:right="120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的翻譯策略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FC46F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587F1F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11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40-12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840083" w:rsidRDefault="00880525" w:rsidP="00D0292B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孫順智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教授</w:t>
            </w:r>
          </w:p>
          <w:p w:rsidR="00880525" w:rsidRPr="00E315AE" w:rsidRDefault="00880525" w:rsidP="00D0292B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長榮大學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翻譯的新趨勢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: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專業翻譯—以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Luca &amp; Loraine Bariccih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的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Artistic Approach</w:t>
            </w:r>
          </w:p>
          <w:p w:rsidR="00880525" w:rsidRPr="00E315AE" w:rsidRDefault="00880525" w:rsidP="00D0292B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藝術取向之翻譯為例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01291A">
            <w:pPr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12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00-12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80525" w:rsidRPr="00840083" w:rsidRDefault="00880525" w:rsidP="0019530B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19530B">
              <w:rPr>
                <w:rFonts w:eastAsia="標楷體" w:hAnsi="標楷體"/>
                <w:b/>
                <w:color w:val="000000"/>
                <w:sz w:val="12"/>
                <w:szCs w:val="12"/>
              </w:rPr>
              <w:t>Q&amp;A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FC46F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587F1F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12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00-12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880525" w:rsidRPr="00840083" w:rsidRDefault="00880525" w:rsidP="0019530B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19530B">
              <w:rPr>
                <w:rFonts w:eastAsia="標楷體" w:hAnsi="標楷體"/>
                <w:b/>
                <w:color w:val="000000"/>
                <w:sz w:val="12"/>
                <w:szCs w:val="12"/>
              </w:rPr>
              <w:t>Q&amp;A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3" w:type="dxa"/>
            <w:gridSpan w:val="2"/>
            <w:shd w:val="clear" w:color="auto" w:fill="D99594"/>
          </w:tcPr>
          <w:p w:rsidR="00880525" w:rsidRPr="00587F1F" w:rsidRDefault="00880525" w:rsidP="00E2400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587F1F">
              <w:rPr>
                <w:rFonts w:eastAsia="標楷體"/>
                <w:b/>
                <w:color w:val="000000"/>
                <w:sz w:val="18"/>
                <w:szCs w:val="18"/>
              </w:rPr>
              <w:t>12</w:t>
            </w:r>
            <w:r w:rsidRPr="00587F1F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8"/>
                <w:szCs w:val="18"/>
              </w:rPr>
              <w:t>30-13</w:t>
            </w:r>
            <w:r w:rsidRPr="00587F1F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46" w:type="dxa"/>
            <w:gridSpan w:val="10"/>
            <w:shd w:val="clear" w:color="auto" w:fill="D99594"/>
            <w:vAlign w:val="center"/>
          </w:tcPr>
          <w:p w:rsidR="00880525" w:rsidRPr="00840083" w:rsidRDefault="00880525" w:rsidP="00587F1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午</w:t>
            </w:r>
            <w:r w:rsidRPr="0084008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 </w:t>
            </w:r>
            <w:r w:rsidRPr="00840083">
              <w:rPr>
                <w:rFonts w:eastAsia="標楷體" w:hAnsi="標楷體"/>
                <w:b/>
                <w:bCs/>
                <w:color w:val="000000"/>
                <w:sz w:val="20"/>
                <w:szCs w:val="20"/>
              </w:rPr>
              <w:t>餐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" w:type="dxa"/>
            <w:vMerge w:val="restart"/>
            <w:shd w:val="clear" w:color="auto" w:fill="FFFF99"/>
            <w:vAlign w:val="center"/>
          </w:tcPr>
          <w:p w:rsidR="00880525" w:rsidRPr="00840083" w:rsidRDefault="00880525" w:rsidP="002F1B7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第</w:t>
            </w:r>
          </w:p>
          <w:p w:rsidR="00880525" w:rsidRPr="00840083" w:rsidRDefault="00880525" w:rsidP="002F1B7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/>
                <w:b/>
                <w:color w:val="000000"/>
                <w:sz w:val="20"/>
                <w:szCs w:val="20"/>
              </w:rPr>
              <w:t>3</w:t>
            </w:r>
          </w:p>
          <w:p w:rsidR="00880525" w:rsidRPr="00840083" w:rsidRDefault="00880525" w:rsidP="002F1B7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場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BD31F6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13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30-13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0525" w:rsidRPr="00FE604B" w:rsidRDefault="00880525" w:rsidP="00FE604B">
            <w:pPr>
              <w:jc w:val="center"/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史宗玲</w:t>
            </w:r>
          </w:p>
          <w:p w:rsidR="00880525" w:rsidRPr="00375B2D" w:rsidRDefault="00880525" w:rsidP="00FE604B">
            <w:pPr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（高雄第一科技大學）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525" w:rsidRPr="00E315AE" w:rsidRDefault="00880525" w:rsidP="003E45CD">
            <w:pPr>
              <w:jc w:val="center"/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Riccardo Moratto</w:t>
            </w: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344384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（輔仁大學）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525" w:rsidRPr="00E315AE" w:rsidRDefault="00880525" w:rsidP="00344384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Designing Translation Curricula in the Machine Translation Era (MTE): Challenges of a New Approach. Student Perspectives</w:t>
            </w:r>
          </w:p>
        </w:tc>
        <w:tc>
          <w:tcPr>
            <w:tcW w:w="284" w:type="dxa"/>
            <w:vMerge w:val="restart"/>
            <w:shd w:val="clear" w:color="auto" w:fill="92CDDC"/>
            <w:vAlign w:val="center"/>
          </w:tcPr>
          <w:p w:rsidR="00880525" w:rsidRPr="00840083" w:rsidRDefault="00880525" w:rsidP="002F1B7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第</w:t>
            </w:r>
          </w:p>
          <w:p w:rsidR="00880525" w:rsidRPr="00840083" w:rsidRDefault="00880525" w:rsidP="002F1B7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/>
                <w:b/>
                <w:color w:val="000000"/>
                <w:sz w:val="20"/>
                <w:szCs w:val="20"/>
              </w:rPr>
              <w:t>4</w:t>
            </w:r>
          </w:p>
          <w:p w:rsidR="00880525" w:rsidRPr="00840083" w:rsidRDefault="00880525" w:rsidP="002F1B7C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場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01291A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13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30-13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80525" w:rsidRDefault="00880525" w:rsidP="004433C5">
            <w:pPr>
              <w:spacing w:line="200" w:lineRule="exact"/>
              <w:jc w:val="center"/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</w:pPr>
            <w:r w:rsidRPr="003D62DA"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楊承淑</w:t>
            </w:r>
          </w:p>
          <w:p w:rsidR="00880525" w:rsidRPr="003D62DA" w:rsidRDefault="00880525" w:rsidP="004433C5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輔仁大學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廖柏森副教授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（台灣師範大學）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80525" w:rsidRPr="00E24003" w:rsidRDefault="00880525" w:rsidP="004433C5">
            <w:pPr>
              <w:spacing w:line="16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大學生中譯英搭配詞</w:t>
            </w:r>
          </w:p>
          <w:p w:rsidR="00880525" w:rsidRPr="00E24003" w:rsidRDefault="00880525" w:rsidP="004433C5">
            <w:pPr>
              <w:spacing w:line="16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能力與錯誤之探討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32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0525" w:rsidRPr="00587F1F" w:rsidRDefault="00880525" w:rsidP="00BD31F6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13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50-14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4433C5">
            <w:pPr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315AE" w:rsidRDefault="00880525" w:rsidP="00344384">
            <w:pPr>
              <w:jc w:val="center"/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張裕敏</w:t>
            </w: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344384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台灣師範大學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315AE" w:rsidRDefault="00880525" w:rsidP="00344384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影視翻譯：</w:t>
            </w:r>
          </w:p>
          <w:p w:rsidR="00880525" w:rsidRPr="00E315AE" w:rsidRDefault="00880525" w:rsidP="00344384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以任務為導向的課程設計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80525" w:rsidRPr="00840083" w:rsidRDefault="00880525" w:rsidP="0013361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80525" w:rsidRPr="00587F1F" w:rsidRDefault="00880525" w:rsidP="0001291A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13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50-14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587F1F" w:rsidRDefault="00880525" w:rsidP="004433C5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邱東龍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老師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長榮大學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董大暉助理教授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（長榮大學）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林達陽研究生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（長榮大學）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24003" w:rsidRDefault="00880525" w:rsidP="004433C5">
            <w:pPr>
              <w:spacing w:line="18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Communicative Language Teaching and Translations across Genres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0525" w:rsidRPr="00587F1F" w:rsidRDefault="00880525" w:rsidP="00BD31F6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14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10-14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4433C5">
            <w:pPr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315AE" w:rsidRDefault="00880525" w:rsidP="00344384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汝明麗助理教授</w:t>
            </w:r>
          </w:p>
          <w:p w:rsidR="00880525" w:rsidRPr="00E315AE" w:rsidRDefault="00880525" w:rsidP="00344384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台灣師範大學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58" w:rsidRDefault="00880525" w:rsidP="00344384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建構式教學與情境學習</w:t>
            </w:r>
          </w:p>
          <w:p w:rsidR="00880525" w:rsidRPr="00E315AE" w:rsidRDefault="00880525" w:rsidP="00C86D58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於大學中譯英口譯課程之實踐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80525" w:rsidRPr="00840083" w:rsidRDefault="00880525" w:rsidP="0013361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80525" w:rsidRPr="00587F1F" w:rsidRDefault="00880525" w:rsidP="0001291A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14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10-14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587F1F" w:rsidRDefault="00880525" w:rsidP="004433C5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陳瑞清助理教授</w:t>
            </w:r>
          </w:p>
          <w:p w:rsidR="00880525" w:rsidRPr="00E24003" w:rsidRDefault="00880525" w:rsidP="004433C5">
            <w:pPr>
              <w:spacing w:line="20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Monterey Institute of International Studies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24003" w:rsidRDefault="00880525" w:rsidP="004433C5">
            <w:pPr>
              <w:spacing w:line="18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語料庫與漢英口譯</w:t>
            </w:r>
          </w:p>
          <w:p w:rsidR="00880525" w:rsidRPr="00E24003" w:rsidRDefault="00880525" w:rsidP="004433C5">
            <w:pPr>
              <w:spacing w:line="18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語言能力的提升</w:t>
            </w:r>
          </w:p>
          <w:p w:rsidR="00880525" w:rsidRPr="00E24003" w:rsidRDefault="00880525" w:rsidP="004433C5">
            <w:pPr>
              <w:spacing w:line="18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 xml:space="preserve">Enhancing Linguistic 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Competence in</w:t>
            </w:r>
          </w:p>
          <w:p w:rsidR="00880525" w:rsidRPr="00E24003" w:rsidRDefault="00880525" w:rsidP="004433C5">
            <w:pPr>
              <w:spacing w:line="18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Chinese-English Interpreting:</w:t>
            </w:r>
          </w:p>
          <w:p w:rsidR="00880525" w:rsidRPr="00E24003" w:rsidRDefault="00880525" w:rsidP="004433C5">
            <w:pPr>
              <w:spacing w:line="18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A Corpus-assisted Approach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2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80525" w:rsidRPr="00587F1F" w:rsidRDefault="00880525" w:rsidP="00BD31F6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14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30-14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840083" w:rsidRDefault="00880525" w:rsidP="004433C5">
            <w:pPr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315AE" w:rsidRDefault="00880525" w:rsidP="00344384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王慧娟</w:t>
            </w: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344384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文藻外語學院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315AE" w:rsidRDefault="00880525" w:rsidP="00344384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A model of learners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’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 xml:space="preserve"> written peer response on translation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80525" w:rsidRPr="00840083" w:rsidRDefault="00880525" w:rsidP="0013361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80525" w:rsidRPr="00587F1F" w:rsidRDefault="00880525" w:rsidP="0001291A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14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30-14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587F1F" w:rsidRDefault="00880525" w:rsidP="004433C5">
            <w:pPr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24003" w:rsidRDefault="00880525" w:rsidP="004433C5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李延輝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老師</w:t>
            </w:r>
          </w:p>
          <w:p w:rsidR="00880525" w:rsidRPr="00E24003" w:rsidRDefault="00880525" w:rsidP="004433C5">
            <w:pPr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台灣師範大學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525" w:rsidRPr="00E24003" w:rsidRDefault="00880525" w:rsidP="004433C5">
            <w:pPr>
              <w:spacing w:line="16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 xml:space="preserve">Woolf 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vs</w:t>
            </w: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 xml:space="preserve">. Woolf: 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 xml:space="preserve">On </w:t>
            </w: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Mrs. Dalloway and Its Four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 xml:space="preserve"> </w:t>
            </w:r>
            <w:r w:rsidRPr="00E24003">
              <w:rPr>
                <w:rFonts w:eastAsia="標楷體" w:hAnsi="標楷體"/>
                <w:b/>
                <w:color w:val="000000"/>
                <w:sz w:val="14"/>
                <w:szCs w:val="14"/>
              </w:rPr>
              <w:t>Translations</w:t>
            </w: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 xml:space="preserve"> in the Light of Modernist and Feminist Translation Theories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4A6B08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587F1F" w:rsidRDefault="00880525" w:rsidP="00827346">
            <w:pPr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14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50-15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80525" w:rsidRPr="00840083" w:rsidRDefault="00880525" w:rsidP="0019530B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19530B">
              <w:rPr>
                <w:rFonts w:eastAsia="標楷體" w:hAnsi="標楷體"/>
                <w:b/>
                <w:color w:val="000000"/>
                <w:sz w:val="12"/>
                <w:szCs w:val="12"/>
              </w:rPr>
              <w:t>Q&amp;A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13361F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111B86">
            <w:pPr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14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50-15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880525" w:rsidRPr="00587F1F" w:rsidRDefault="00880525" w:rsidP="0001291A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Q&amp;A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51"/>
          <w:jc w:val="center"/>
        </w:trPr>
        <w:tc>
          <w:tcPr>
            <w:tcW w:w="1173" w:type="dxa"/>
            <w:gridSpan w:val="2"/>
            <w:shd w:val="clear" w:color="auto" w:fill="D99594"/>
            <w:vAlign w:val="center"/>
          </w:tcPr>
          <w:p w:rsidR="00880525" w:rsidRPr="004D64FE" w:rsidRDefault="00880525" w:rsidP="00BD7241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4D64FE">
              <w:rPr>
                <w:rFonts w:eastAsia="標楷體"/>
                <w:b/>
                <w:color w:val="000000"/>
                <w:sz w:val="18"/>
                <w:szCs w:val="18"/>
              </w:rPr>
              <w:t>15</w:t>
            </w:r>
            <w:r w:rsidRPr="004D64FE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8"/>
                <w:szCs w:val="18"/>
              </w:rPr>
              <w:t>20-15</w:t>
            </w:r>
            <w:r w:rsidRPr="004D64FE">
              <w:rPr>
                <w:rFonts w:eastAsia="標楷體" w:hAnsi="標楷體"/>
                <w:b/>
                <w:color w:val="000000"/>
                <w:sz w:val="18"/>
                <w:szCs w:val="18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46" w:type="dxa"/>
            <w:gridSpan w:val="10"/>
            <w:shd w:val="clear" w:color="auto" w:fill="D99594"/>
            <w:vAlign w:val="center"/>
          </w:tcPr>
          <w:p w:rsidR="00880525" w:rsidRPr="00587F1F" w:rsidRDefault="00880525" w:rsidP="0013361F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840083"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  <w:t>中場休息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322" w:type="dxa"/>
            <w:vMerge w:val="restart"/>
            <w:shd w:val="clear" w:color="auto" w:fill="FFFF99"/>
            <w:vAlign w:val="center"/>
          </w:tcPr>
          <w:p w:rsidR="00880525" w:rsidRPr="00840083" w:rsidRDefault="00880525" w:rsidP="009D2813">
            <w:pPr>
              <w:jc w:val="center"/>
              <w:rPr>
                <w:rFonts w:eastAsia="標楷體"/>
                <w:b/>
                <w:color w:val="000000"/>
              </w:rPr>
            </w:pPr>
            <w:r w:rsidRPr="00840083">
              <w:rPr>
                <w:rFonts w:eastAsia="標楷體" w:hAnsi="標楷體"/>
                <w:b/>
                <w:color w:val="000000"/>
              </w:rPr>
              <w:t>第</w:t>
            </w:r>
          </w:p>
          <w:p w:rsidR="00880525" w:rsidRPr="00840083" w:rsidRDefault="00880525" w:rsidP="009D2813">
            <w:pPr>
              <w:jc w:val="center"/>
              <w:rPr>
                <w:rFonts w:eastAsia="標楷體"/>
                <w:b/>
                <w:color w:val="000000"/>
              </w:rPr>
            </w:pPr>
            <w:r w:rsidRPr="00840083">
              <w:rPr>
                <w:rFonts w:eastAsia="標楷體"/>
                <w:b/>
                <w:color w:val="000000"/>
              </w:rPr>
              <w:t>5</w:t>
            </w:r>
          </w:p>
          <w:p w:rsidR="00880525" w:rsidRPr="00840083" w:rsidRDefault="00880525" w:rsidP="009D2813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</w:rPr>
              <w:t>場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4D64FE" w:rsidRDefault="00880525" w:rsidP="00BF59DB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15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40-16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0525" w:rsidRDefault="00880525" w:rsidP="00E24003">
            <w:pPr>
              <w:jc w:val="center"/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廖柏森</w:t>
            </w:r>
          </w:p>
          <w:p w:rsidR="00880525" w:rsidRPr="00840083" w:rsidRDefault="00880525" w:rsidP="00E24003">
            <w:pPr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（台灣師範大學）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525" w:rsidRPr="00E315AE" w:rsidRDefault="00880525" w:rsidP="00D71778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溫瀅雅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D71778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虎尾科技大學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525" w:rsidRDefault="00880525" w:rsidP="000D421C">
            <w:pPr>
              <w:ind w:left="1440" w:hanging="1440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質量並重的英譯中</w:t>
            </w:r>
          </w:p>
          <w:p w:rsidR="00880525" w:rsidRDefault="00880525" w:rsidP="000D421C">
            <w:pPr>
              <w:ind w:left="1440" w:hanging="1440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筆譯評量：</w:t>
            </w:r>
          </w:p>
          <w:p w:rsidR="00880525" w:rsidRPr="00E315AE" w:rsidRDefault="00880525" w:rsidP="003E45CD">
            <w:pPr>
              <w:ind w:left="1440" w:hanging="1440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四階加權計分模式初探</w:t>
            </w:r>
          </w:p>
        </w:tc>
        <w:tc>
          <w:tcPr>
            <w:tcW w:w="284" w:type="dxa"/>
            <w:vMerge w:val="restart"/>
            <w:shd w:val="clear" w:color="auto" w:fill="92CDDC"/>
            <w:vAlign w:val="center"/>
          </w:tcPr>
          <w:p w:rsidR="00880525" w:rsidRPr="00840083" w:rsidRDefault="00880525" w:rsidP="009D2813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研</w:t>
            </w:r>
          </w:p>
          <w:p w:rsidR="00880525" w:rsidRPr="00840083" w:rsidRDefault="00880525" w:rsidP="009D2813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究</w:t>
            </w:r>
          </w:p>
          <w:p w:rsidR="00880525" w:rsidRPr="00840083" w:rsidRDefault="00880525" w:rsidP="009D2813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生</w:t>
            </w:r>
          </w:p>
          <w:p w:rsidR="00880525" w:rsidRPr="00840083" w:rsidRDefault="00880525" w:rsidP="009D2813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論</w:t>
            </w:r>
          </w:p>
          <w:p w:rsidR="00880525" w:rsidRPr="00840083" w:rsidRDefault="00880525" w:rsidP="00E13C60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40083">
              <w:rPr>
                <w:rFonts w:eastAsia="標楷體" w:hAnsi="標楷體"/>
                <w:b/>
                <w:color w:val="000000"/>
                <w:sz w:val="20"/>
                <w:szCs w:val="20"/>
              </w:rPr>
              <w:t>壇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C31571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15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40-16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0525" w:rsidRDefault="00880525" w:rsidP="003E45CD">
            <w:pPr>
              <w:ind w:right="160"/>
              <w:jc w:val="center"/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董大暉</w:t>
            </w:r>
          </w:p>
          <w:p w:rsidR="00880525" w:rsidRPr="003E45CD" w:rsidRDefault="00880525" w:rsidP="003E45CD">
            <w:pPr>
              <w:ind w:right="160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E2400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（長榮大學）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Shuming Chen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助理教授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大葉大學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Hsin-yi Chan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研究生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（大葉大學）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0525" w:rsidRPr="00E315AE" w:rsidRDefault="00880525" w:rsidP="00E24003">
            <w:pPr>
              <w:spacing w:line="160" w:lineRule="exact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 xml:space="preserve">The Analysis of Idiom Translation in Chinese Translated Novel </w:t>
            </w:r>
          </w:p>
          <w:p w:rsidR="00880525" w:rsidRPr="00E315AE" w:rsidRDefault="00880525" w:rsidP="00E24003">
            <w:pPr>
              <w:spacing w:line="16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“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Narnia: The Magician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’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s Nephew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”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2F1B7C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4D64FE" w:rsidRDefault="00880525" w:rsidP="00BF59DB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16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00-16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89089A">
            <w:pPr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525" w:rsidRPr="00E315AE" w:rsidRDefault="00880525" w:rsidP="00D71778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許玟琪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研究生</w:t>
            </w:r>
          </w:p>
          <w:p w:rsidR="00880525" w:rsidRPr="00E315AE" w:rsidRDefault="00880525" w:rsidP="00D71778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高雄第一科技大學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  <w:p w:rsidR="00880525" w:rsidRPr="00E315AE" w:rsidRDefault="00880525" w:rsidP="00D71778">
            <w:pPr>
              <w:jc w:val="center"/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史宗玲教授</w:t>
            </w:r>
          </w:p>
          <w:p w:rsidR="00880525" w:rsidRPr="00E315AE" w:rsidRDefault="00880525" w:rsidP="00D71778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（高雄第一科技大學）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525" w:rsidRPr="00E315AE" w:rsidRDefault="00880525" w:rsidP="00D71778">
            <w:pPr>
              <w:ind w:right="120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台灣國家公園網站</w:t>
            </w:r>
          </w:p>
          <w:p w:rsidR="00880525" w:rsidRPr="00E315AE" w:rsidRDefault="00880525" w:rsidP="00D71778">
            <w:pPr>
              <w:ind w:right="120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翻譯之研究－由功能主義論析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563602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C31571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16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00-16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587F1F" w:rsidRDefault="00880525" w:rsidP="00344384">
            <w:pPr>
              <w:jc w:val="right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80525" w:rsidRPr="00E315AE" w:rsidRDefault="00880525" w:rsidP="00E24003">
            <w:pPr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陳怡蓉研究生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長榮大學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0525" w:rsidRPr="00E315AE" w:rsidRDefault="00880525" w:rsidP="00E24003">
            <w:pPr>
              <w:spacing w:line="160" w:lineRule="exact"/>
              <w:ind w:left="1440" w:hanging="1440"/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臺南市公共交通標示語</w:t>
            </w:r>
          </w:p>
          <w:p w:rsidR="00880525" w:rsidRPr="00E315AE" w:rsidRDefault="00880525" w:rsidP="00E24003">
            <w:pPr>
              <w:spacing w:line="160" w:lineRule="exact"/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英譯之調查研究</w:t>
            </w:r>
          </w:p>
        </w:tc>
      </w:tr>
      <w:tr w:rsidR="00880525" w:rsidRPr="00587F1F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4D64FE" w:rsidRDefault="00880525" w:rsidP="00BF59DB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16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20-16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Pr="00840083" w:rsidRDefault="00880525" w:rsidP="0089089A">
            <w:pPr>
              <w:jc w:val="right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525" w:rsidRPr="00E315AE" w:rsidRDefault="00880525" w:rsidP="00D71778">
            <w:pPr>
              <w:jc w:val="center"/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張裕敏</w:t>
            </w:r>
            <w:r w:rsidRPr="00E315AE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老師</w:t>
            </w:r>
          </w:p>
          <w:p w:rsidR="00880525" w:rsidRPr="00E315AE" w:rsidRDefault="00880525" w:rsidP="00D71778">
            <w:pPr>
              <w:jc w:val="center"/>
              <w:rPr>
                <w:rFonts w:eastAsia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台灣師範大學</w:t>
            </w:r>
            <w:r w:rsidRPr="00E315AE"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525" w:rsidRDefault="00880525" w:rsidP="00715D26">
            <w:pPr>
              <w:widowControl/>
              <w:ind w:leftChars="30" w:left="74" w:rightChars="30" w:right="72" w:hanging="2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Toward a New Approach to the Translation Error Analysis of Learners at Different Stages of Development and Its Pedagogical Implications:</w:t>
            </w:r>
          </w:p>
          <w:p w:rsidR="00880525" w:rsidRPr="00E315AE" w:rsidRDefault="00880525" w:rsidP="00715D26">
            <w:pPr>
              <w:widowControl/>
              <w:ind w:leftChars="30" w:left="74" w:rightChars="30" w:right="72" w:hanging="2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 xml:space="preserve"> a Corpus-based Study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563602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587F1F" w:rsidRDefault="00880525" w:rsidP="00C31571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16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20-16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587F1F">
              <w:rPr>
                <w:rFonts w:eastAsia="標楷體" w:hAnsi="標楷體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587F1F" w:rsidRDefault="00880525" w:rsidP="00344384">
            <w:pPr>
              <w:jc w:val="right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丁紀祥博士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生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大阪大学</w:t>
            </w: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中日同歩口訳當中倒訳與順訳使用之探討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A Study looking into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the use</w:t>
            </w:r>
            <w:r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of Linear Translation and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Translation in Reverse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Order in case of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Simultaneous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Interpretation from</w:t>
            </w:r>
          </w:p>
          <w:p w:rsidR="00880525" w:rsidRPr="00E315AE" w:rsidRDefault="00880525" w:rsidP="00050153">
            <w:pPr>
              <w:spacing w:line="160" w:lineRule="exact"/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Chinese to Japanese</w:t>
            </w:r>
          </w:p>
        </w:tc>
      </w:tr>
      <w:tr w:rsidR="00880525" w:rsidRPr="004D64FE" w:rsidTr="00E13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4D64FE" w:rsidRDefault="00880525" w:rsidP="00BD7241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16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40-17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0525" w:rsidRDefault="00880525" w:rsidP="0047408B">
            <w:pPr>
              <w:jc w:val="right"/>
              <w:rPr>
                <w:rFonts w:eastAsia="標楷體" w:hAnsi="標楷體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80525" w:rsidRPr="00E315AE" w:rsidRDefault="00880525" w:rsidP="0019530B">
            <w:pPr>
              <w:ind w:left="1440" w:hanging="1440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19530B">
              <w:rPr>
                <w:rFonts w:eastAsia="標楷體" w:hAnsi="標楷體"/>
                <w:b/>
                <w:color w:val="000000"/>
                <w:sz w:val="12"/>
                <w:szCs w:val="12"/>
              </w:rPr>
              <w:t>Q&amp;A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563602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4D64FE" w:rsidRDefault="00880525" w:rsidP="00C31571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16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40-17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 w:hAnsi="標楷體" w:hint="eastAsia"/>
                <w:b/>
                <w:color w:val="000000"/>
                <w:sz w:val="12"/>
                <w:szCs w:val="12"/>
              </w:rPr>
              <w:t>0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0525" w:rsidRPr="004D64FE" w:rsidRDefault="00880525" w:rsidP="0047408B">
            <w:pPr>
              <w:jc w:val="right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曹雅容老師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Sharon Tsao</w:t>
            </w:r>
          </w:p>
          <w:p w:rsidR="00880525" w:rsidRPr="00E315AE" w:rsidRDefault="00880525" w:rsidP="00E24003">
            <w:pPr>
              <w:jc w:val="center"/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台中縣中港高中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 xml:space="preserve"> </w:t>
            </w:r>
          </w:p>
          <w:p w:rsidR="00880525" w:rsidRPr="00050153" w:rsidRDefault="00880525" w:rsidP="00E24003">
            <w:pPr>
              <w:jc w:val="center"/>
              <w:rPr>
                <w:rFonts w:eastAsia="標楷體" w:hAnsi="標楷體"/>
                <w:b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（</w:t>
            </w:r>
            <w:r w:rsidRPr="00050153">
              <w:rPr>
                <w:rFonts w:eastAsia="標楷體" w:hAnsi="標楷體"/>
                <w:b/>
                <w:color w:val="000000"/>
                <w:sz w:val="14"/>
                <w:szCs w:val="14"/>
              </w:rPr>
              <w:t>Chung-Gang Senior High School</w:t>
            </w:r>
            <w:r w:rsidRPr="00050153">
              <w:rPr>
                <w:rFonts w:eastAsia="標楷體" w:hAnsi="標楷體" w:hint="eastAsia"/>
                <w:b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實作之口筆譯課程</w:t>
            </w:r>
          </w:p>
          <w:p w:rsidR="00880525" w:rsidRPr="00050153" w:rsidRDefault="00880525" w:rsidP="00050153">
            <w:pPr>
              <w:spacing w:line="160" w:lineRule="exact"/>
              <w:jc w:val="center"/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</w:pP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Task-based Learning for</w:t>
            </w:r>
            <w:r>
              <w:rPr>
                <w:rFonts w:eastAsia="標楷體" w:hAnsi="標楷體" w:hint="eastAsi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50153">
              <w:rPr>
                <w:rFonts w:eastAsia="標楷體" w:hAnsi="標楷體"/>
                <w:b/>
                <w:bCs/>
                <w:color w:val="000000"/>
                <w:sz w:val="14"/>
                <w:szCs w:val="14"/>
              </w:rPr>
              <w:t>Translator</w:t>
            </w:r>
            <w:r w:rsidRPr="00E315AE">
              <w:rPr>
                <w:rFonts w:eastAsia="標楷體" w:hAnsi="標楷體"/>
                <w:b/>
                <w:color w:val="000000"/>
                <w:sz w:val="14"/>
                <w:szCs w:val="14"/>
              </w:rPr>
              <w:t>s</w:t>
            </w:r>
          </w:p>
        </w:tc>
      </w:tr>
      <w:tr w:rsidR="00880525" w:rsidRPr="004D64FE" w:rsidTr="00E13C60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22" w:type="dxa"/>
            <w:vMerge/>
            <w:shd w:val="clear" w:color="auto" w:fill="FFFF99"/>
            <w:vAlign w:val="center"/>
          </w:tcPr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80525" w:rsidRPr="004D64FE" w:rsidRDefault="00880525" w:rsidP="00BD7241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 w:hint="eastAsia"/>
                <w:b/>
                <w:color w:val="000000"/>
                <w:sz w:val="12"/>
                <w:szCs w:val="12"/>
              </w:rPr>
              <w:t>17</w:t>
            </w:r>
            <w:r w:rsidRPr="004D64FE">
              <w:rPr>
                <w:rFonts w:eastAsia="標楷體" w:hint="eastAsia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 w:hint="eastAsia"/>
                <w:b/>
                <w:color w:val="000000"/>
                <w:sz w:val="12"/>
                <w:szCs w:val="12"/>
              </w:rPr>
              <w:t>10-17</w:t>
            </w:r>
            <w:r w:rsidRPr="004D64FE">
              <w:rPr>
                <w:rFonts w:eastAsia="標楷體" w:hint="eastAsia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 w:hint="eastAsia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80525" w:rsidRPr="00E315AE" w:rsidRDefault="00880525" w:rsidP="00BD7241">
            <w:pPr>
              <w:ind w:left="1440" w:hanging="1440"/>
              <w:jc w:val="center"/>
              <w:rPr>
                <w:rFonts w:eastAsia="標楷體"/>
                <w:b/>
                <w:color w:val="000000"/>
                <w:sz w:val="14"/>
                <w:szCs w:val="14"/>
              </w:rPr>
            </w:pPr>
            <w:r w:rsidRPr="00E315AE">
              <w:rPr>
                <w:rFonts w:eastAsia="標楷體" w:hint="eastAsia"/>
                <w:b/>
                <w:color w:val="000000"/>
                <w:sz w:val="14"/>
                <w:szCs w:val="14"/>
              </w:rPr>
              <w:t>閉幕場地準備</w:t>
            </w:r>
          </w:p>
        </w:tc>
        <w:tc>
          <w:tcPr>
            <w:tcW w:w="284" w:type="dxa"/>
            <w:vMerge/>
            <w:shd w:val="clear" w:color="auto" w:fill="92CDDC"/>
            <w:vAlign w:val="center"/>
          </w:tcPr>
          <w:p w:rsidR="00880525" w:rsidRPr="00840083" w:rsidRDefault="00880525" w:rsidP="008A7087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880525" w:rsidRPr="004D64FE" w:rsidRDefault="00880525" w:rsidP="00BD7241">
            <w:pPr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17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 w:hAnsi="標楷體" w:hint="eastAsia"/>
                <w:b/>
                <w:color w:val="000000"/>
                <w:sz w:val="12"/>
                <w:szCs w:val="12"/>
              </w:rPr>
              <w:t>0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0-17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：</w:t>
            </w: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4318" w:type="dxa"/>
            <w:gridSpan w:val="4"/>
            <w:shd w:val="clear" w:color="auto" w:fill="FFFFFF"/>
            <w:vAlign w:val="center"/>
          </w:tcPr>
          <w:p w:rsidR="00880525" w:rsidRPr="004D64FE" w:rsidRDefault="00880525" w:rsidP="003E5141">
            <w:pPr>
              <w:ind w:left="1440" w:hanging="1440"/>
              <w:jc w:val="center"/>
              <w:rPr>
                <w:rFonts w:eastAsia="標楷體" w:hAnsi="標楷體"/>
                <w:b/>
                <w:color w:val="000000"/>
                <w:sz w:val="12"/>
                <w:szCs w:val="12"/>
              </w:rPr>
            </w:pPr>
            <w:r w:rsidRPr="004D64FE">
              <w:rPr>
                <w:rFonts w:eastAsia="標楷體" w:hAnsi="標楷體"/>
                <w:b/>
                <w:color w:val="000000"/>
                <w:sz w:val="12"/>
                <w:szCs w:val="12"/>
              </w:rPr>
              <w:t>Q&amp;A</w:t>
            </w:r>
          </w:p>
        </w:tc>
      </w:tr>
      <w:tr w:rsidR="00880525" w:rsidRPr="00840083" w:rsidTr="00E13C60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880525" w:rsidRPr="002C6137" w:rsidRDefault="00880525" w:rsidP="00722B31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2C6137">
              <w:rPr>
                <w:rFonts w:eastAsia="標楷體" w:hint="eastAsia"/>
                <w:b/>
                <w:color w:val="000000"/>
                <w:sz w:val="18"/>
                <w:szCs w:val="18"/>
              </w:rPr>
              <w:t>17</w:t>
            </w:r>
            <w:r w:rsidRPr="002C6137">
              <w:rPr>
                <w:rFonts w:eastAsia="標楷體" w:hint="eastAsia"/>
                <w:b/>
                <w:color w:val="000000"/>
                <w:sz w:val="18"/>
                <w:szCs w:val="18"/>
              </w:rPr>
              <w:t>：</w:t>
            </w:r>
            <w:r w:rsidRPr="002C6137">
              <w:rPr>
                <w:rFonts w:eastAsia="標楷體" w:hint="eastAsi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46" w:type="dxa"/>
            <w:gridSpan w:val="10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880525" w:rsidRPr="002C6137" w:rsidRDefault="00880525" w:rsidP="003B2CA8">
            <w:pPr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2C6137">
              <w:rPr>
                <w:rFonts w:eastAsia="標楷體" w:hAnsi="標楷體"/>
                <w:b/>
                <w:bCs/>
                <w:color w:val="000000"/>
                <w:sz w:val="18"/>
                <w:szCs w:val="18"/>
              </w:rPr>
              <w:t>閉幕致詞：</w:t>
            </w:r>
            <w:r w:rsidR="002C6137"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李憲榮教授（長榮大學翻譯學系前主任、</w:t>
            </w:r>
            <w:r w:rsidR="00F829EB" w:rsidRPr="00163FC9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台灣</w:t>
            </w:r>
            <w:r w:rsidR="002C6137" w:rsidRPr="00163FC9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翻譯學學</w:t>
            </w:r>
            <w:r w:rsidR="002C6137" w:rsidRPr="002C6137">
              <w:rPr>
                <w:rFonts w:eastAsia="標楷體" w:hAnsi="標楷體" w:hint="eastAsia"/>
                <w:b/>
                <w:bCs/>
                <w:color w:val="000000"/>
                <w:sz w:val="18"/>
                <w:szCs w:val="18"/>
              </w:rPr>
              <w:t>會理事長）</w:t>
            </w:r>
          </w:p>
        </w:tc>
      </w:tr>
    </w:tbl>
    <w:p w:rsidR="00393B96" w:rsidRPr="00C6236E" w:rsidRDefault="003B2CA8" w:rsidP="00573061">
      <w:pPr>
        <w:ind w:firstLineChars="100" w:firstLine="200"/>
        <w:jc w:val="center"/>
        <w:rPr>
          <w:rFonts w:eastAsia="標楷體" w:hAnsi="標楷體" w:hint="eastAsia"/>
          <w:b/>
          <w:bCs/>
          <w:sz w:val="20"/>
          <w:szCs w:val="20"/>
          <w:u w:val="single"/>
        </w:rPr>
      </w:pPr>
      <w:r w:rsidRPr="003B2CA8">
        <w:rPr>
          <w:rFonts w:eastAsia="標楷體" w:hAnsi="標楷體" w:hint="eastAsia"/>
          <w:b/>
          <w:bCs/>
          <w:sz w:val="20"/>
          <w:szCs w:val="20"/>
          <w:u w:val="single"/>
        </w:rPr>
        <w:t>備註：閉幕請至</w:t>
      </w:r>
      <w:r w:rsidRPr="003B2CA8">
        <w:rPr>
          <w:rFonts w:eastAsia="標楷體" w:hAnsi="標楷體" w:hint="eastAsia"/>
          <w:b/>
          <w:bCs/>
          <w:sz w:val="20"/>
          <w:szCs w:val="20"/>
          <w:u w:val="single"/>
        </w:rPr>
        <w:t>A</w:t>
      </w:r>
      <w:r w:rsidRPr="003B2CA8">
        <w:rPr>
          <w:rFonts w:eastAsia="標楷體" w:hAnsi="標楷體" w:hint="eastAsia"/>
          <w:b/>
          <w:bCs/>
          <w:sz w:val="20"/>
          <w:szCs w:val="20"/>
          <w:u w:val="single"/>
        </w:rPr>
        <w:t>場地（行政大樓</w:t>
      </w:r>
      <w:r w:rsidRPr="003B2CA8">
        <w:rPr>
          <w:rFonts w:eastAsia="標楷體" w:hAnsi="標楷體" w:hint="eastAsia"/>
          <w:b/>
          <w:bCs/>
          <w:sz w:val="20"/>
          <w:szCs w:val="20"/>
          <w:u w:val="single"/>
        </w:rPr>
        <w:t>4F</w:t>
      </w:r>
      <w:r w:rsidRPr="003B2CA8">
        <w:rPr>
          <w:rFonts w:eastAsia="標楷體" w:hAnsi="標楷體" w:hint="eastAsia"/>
          <w:b/>
          <w:bCs/>
          <w:sz w:val="20"/>
          <w:szCs w:val="20"/>
          <w:u w:val="single"/>
        </w:rPr>
        <w:t>）</w:t>
      </w:r>
    </w:p>
    <w:sectPr w:rsidR="00393B96" w:rsidRPr="00C6236E" w:rsidSect="005F3715">
      <w:pgSz w:w="11906" w:h="16838" w:code="9"/>
      <w:pgMar w:top="284" w:right="340" w:bottom="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E5" w:rsidRDefault="007905E5" w:rsidP="00A63E5F">
      <w:r>
        <w:separator/>
      </w:r>
    </w:p>
  </w:endnote>
  <w:endnote w:type="continuationSeparator" w:id="0">
    <w:p w:rsidR="007905E5" w:rsidRDefault="007905E5" w:rsidP="00A6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E5" w:rsidRDefault="007905E5" w:rsidP="00A63E5F">
      <w:r>
        <w:separator/>
      </w:r>
    </w:p>
  </w:footnote>
  <w:footnote w:type="continuationSeparator" w:id="0">
    <w:p w:rsidR="007905E5" w:rsidRDefault="007905E5" w:rsidP="00A63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A6E"/>
    <w:multiLevelType w:val="hybridMultilevel"/>
    <w:tmpl w:val="05A4A3FA"/>
    <w:lvl w:ilvl="0" w:tplc="6A7A5D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6F33"/>
    <w:rsid w:val="00001E94"/>
    <w:rsid w:val="00002CFA"/>
    <w:rsid w:val="0001291A"/>
    <w:rsid w:val="00036F92"/>
    <w:rsid w:val="00042869"/>
    <w:rsid w:val="00050153"/>
    <w:rsid w:val="00055A40"/>
    <w:rsid w:val="0009607B"/>
    <w:rsid w:val="000A7F83"/>
    <w:rsid w:val="000D421C"/>
    <w:rsid w:val="000E2701"/>
    <w:rsid w:val="00111B86"/>
    <w:rsid w:val="00116F33"/>
    <w:rsid w:val="00124F39"/>
    <w:rsid w:val="0013361F"/>
    <w:rsid w:val="0014027D"/>
    <w:rsid w:val="00147C82"/>
    <w:rsid w:val="00152569"/>
    <w:rsid w:val="00163FC9"/>
    <w:rsid w:val="00187486"/>
    <w:rsid w:val="0019142D"/>
    <w:rsid w:val="0019530B"/>
    <w:rsid w:val="001C46B4"/>
    <w:rsid w:val="001C615D"/>
    <w:rsid w:val="001D0238"/>
    <w:rsid w:val="001D1A68"/>
    <w:rsid w:val="001D54B3"/>
    <w:rsid w:val="001F21EE"/>
    <w:rsid w:val="001F6CD2"/>
    <w:rsid w:val="002037AD"/>
    <w:rsid w:val="00210EA1"/>
    <w:rsid w:val="00226D7A"/>
    <w:rsid w:val="00230E58"/>
    <w:rsid w:val="0023266F"/>
    <w:rsid w:val="00245260"/>
    <w:rsid w:val="00255DBD"/>
    <w:rsid w:val="0026257D"/>
    <w:rsid w:val="0026797D"/>
    <w:rsid w:val="00270F42"/>
    <w:rsid w:val="00271D61"/>
    <w:rsid w:val="00277247"/>
    <w:rsid w:val="00285612"/>
    <w:rsid w:val="002A5A11"/>
    <w:rsid w:val="002C6137"/>
    <w:rsid w:val="002F1B7C"/>
    <w:rsid w:val="002F35A7"/>
    <w:rsid w:val="002F56DF"/>
    <w:rsid w:val="00307CD3"/>
    <w:rsid w:val="00312F0B"/>
    <w:rsid w:val="00326848"/>
    <w:rsid w:val="00327A33"/>
    <w:rsid w:val="00334A4B"/>
    <w:rsid w:val="00344384"/>
    <w:rsid w:val="003532C4"/>
    <w:rsid w:val="00375B2D"/>
    <w:rsid w:val="003820AC"/>
    <w:rsid w:val="0038718F"/>
    <w:rsid w:val="00387B51"/>
    <w:rsid w:val="00393B96"/>
    <w:rsid w:val="003964A9"/>
    <w:rsid w:val="003A3AC2"/>
    <w:rsid w:val="003B1B51"/>
    <w:rsid w:val="003B2CA8"/>
    <w:rsid w:val="003B31F4"/>
    <w:rsid w:val="003D0E10"/>
    <w:rsid w:val="003D35E2"/>
    <w:rsid w:val="003D4740"/>
    <w:rsid w:val="003D62DA"/>
    <w:rsid w:val="003D77EE"/>
    <w:rsid w:val="003E0AB9"/>
    <w:rsid w:val="003E45CD"/>
    <w:rsid w:val="003E5141"/>
    <w:rsid w:val="003F63BC"/>
    <w:rsid w:val="00400E32"/>
    <w:rsid w:val="00404F70"/>
    <w:rsid w:val="004069AA"/>
    <w:rsid w:val="004115D1"/>
    <w:rsid w:val="00411A06"/>
    <w:rsid w:val="0043075F"/>
    <w:rsid w:val="004307A1"/>
    <w:rsid w:val="004433C5"/>
    <w:rsid w:val="00444FE6"/>
    <w:rsid w:val="00445B31"/>
    <w:rsid w:val="00457C63"/>
    <w:rsid w:val="0047408B"/>
    <w:rsid w:val="00474689"/>
    <w:rsid w:val="004779C7"/>
    <w:rsid w:val="00482510"/>
    <w:rsid w:val="00483F11"/>
    <w:rsid w:val="00485651"/>
    <w:rsid w:val="00497D7A"/>
    <w:rsid w:val="004A6B08"/>
    <w:rsid w:val="004A716D"/>
    <w:rsid w:val="004B3963"/>
    <w:rsid w:val="004C49BE"/>
    <w:rsid w:val="004C54C3"/>
    <w:rsid w:val="004D64FE"/>
    <w:rsid w:val="0052372E"/>
    <w:rsid w:val="0055385F"/>
    <w:rsid w:val="00561E32"/>
    <w:rsid w:val="005627D2"/>
    <w:rsid w:val="00563602"/>
    <w:rsid w:val="00563D1A"/>
    <w:rsid w:val="00573061"/>
    <w:rsid w:val="00574638"/>
    <w:rsid w:val="00574EFB"/>
    <w:rsid w:val="00587F1F"/>
    <w:rsid w:val="005A5C1D"/>
    <w:rsid w:val="005A6077"/>
    <w:rsid w:val="005D2162"/>
    <w:rsid w:val="005E4DD6"/>
    <w:rsid w:val="005E54DD"/>
    <w:rsid w:val="005F3715"/>
    <w:rsid w:val="005F719A"/>
    <w:rsid w:val="00602659"/>
    <w:rsid w:val="0060678B"/>
    <w:rsid w:val="0063050F"/>
    <w:rsid w:val="00652AC8"/>
    <w:rsid w:val="0066636C"/>
    <w:rsid w:val="00670937"/>
    <w:rsid w:val="00671DBC"/>
    <w:rsid w:val="006740B6"/>
    <w:rsid w:val="006A50B9"/>
    <w:rsid w:val="006B075B"/>
    <w:rsid w:val="006B5749"/>
    <w:rsid w:val="006C188B"/>
    <w:rsid w:val="006E01B5"/>
    <w:rsid w:val="006F5EC5"/>
    <w:rsid w:val="006F7AB9"/>
    <w:rsid w:val="0070258D"/>
    <w:rsid w:val="00704D88"/>
    <w:rsid w:val="007144C3"/>
    <w:rsid w:val="007158AF"/>
    <w:rsid w:val="00715D26"/>
    <w:rsid w:val="00722B31"/>
    <w:rsid w:val="00731D14"/>
    <w:rsid w:val="0073393E"/>
    <w:rsid w:val="00733A16"/>
    <w:rsid w:val="00774DFD"/>
    <w:rsid w:val="00787790"/>
    <w:rsid w:val="007905E5"/>
    <w:rsid w:val="00797F38"/>
    <w:rsid w:val="007C569A"/>
    <w:rsid w:val="00816B84"/>
    <w:rsid w:val="008220D7"/>
    <w:rsid w:val="0082510F"/>
    <w:rsid w:val="00827346"/>
    <w:rsid w:val="00840083"/>
    <w:rsid w:val="00853043"/>
    <w:rsid w:val="00880525"/>
    <w:rsid w:val="008868FC"/>
    <w:rsid w:val="0089089A"/>
    <w:rsid w:val="008A6D67"/>
    <w:rsid w:val="008A7087"/>
    <w:rsid w:val="008F7F6A"/>
    <w:rsid w:val="009242DA"/>
    <w:rsid w:val="00924A04"/>
    <w:rsid w:val="00953CBE"/>
    <w:rsid w:val="00963E3D"/>
    <w:rsid w:val="00966946"/>
    <w:rsid w:val="00967459"/>
    <w:rsid w:val="00971F6F"/>
    <w:rsid w:val="009824D4"/>
    <w:rsid w:val="009A0AA9"/>
    <w:rsid w:val="009A2377"/>
    <w:rsid w:val="009A2D6D"/>
    <w:rsid w:val="009B47CD"/>
    <w:rsid w:val="009C66AA"/>
    <w:rsid w:val="009D2813"/>
    <w:rsid w:val="009E2C7D"/>
    <w:rsid w:val="009E5355"/>
    <w:rsid w:val="009F1B9F"/>
    <w:rsid w:val="00A0353E"/>
    <w:rsid w:val="00A13C08"/>
    <w:rsid w:val="00A16DD2"/>
    <w:rsid w:val="00A26F06"/>
    <w:rsid w:val="00A27ED1"/>
    <w:rsid w:val="00A36803"/>
    <w:rsid w:val="00A514AE"/>
    <w:rsid w:val="00A520CC"/>
    <w:rsid w:val="00A63E5F"/>
    <w:rsid w:val="00A67D57"/>
    <w:rsid w:val="00A71DC8"/>
    <w:rsid w:val="00A74DD8"/>
    <w:rsid w:val="00A93597"/>
    <w:rsid w:val="00A96025"/>
    <w:rsid w:val="00AB4777"/>
    <w:rsid w:val="00AC5064"/>
    <w:rsid w:val="00B42BB7"/>
    <w:rsid w:val="00B4793D"/>
    <w:rsid w:val="00B54271"/>
    <w:rsid w:val="00B643B3"/>
    <w:rsid w:val="00B6736D"/>
    <w:rsid w:val="00B72445"/>
    <w:rsid w:val="00B862AF"/>
    <w:rsid w:val="00B873F5"/>
    <w:rsid w:val="00BA1751"/>
    <w:rsid w:val="00BC795C"/>
    <w:rsid w:val="00BD31F6"/>
    <w:rsid w:val="00BD7241"/>
    <w:rsid w:val="00BF59DB"/>
    <w:rsid w:val="00C073D7"/>
    <w:rsid w:val="00C1431E"/>
    <w:rsid w:val="00C14791"/>
    <w:rsid w:val="00C14F55"/>
    <w:rsid w:val="00C1669E"/>
    <w:rsid w:val="00C23711"/>
    <w:rsid w:val="00C31571"/>
    <w:rsid w:val="00C31732"/>
    <w:rsid w:val="00C35859"/>
    <w:rsid w:val="00C415A8"/>
    <w:rsid w:val="00C6236E"/>
    <w:rsid w:val="00C86D58"/>
    <w:rsid w:val="00C86F70"/>
    <w:rsid w:val="00CC62A8"/>
    <w:rsid w:val="00CE0F4A"/>
    <w:rsid w:val="00CE4233"/>
    <w:rsid w:val="00CF4007"/>
    <w:rsid w:val="00D0292B"/>
    <w:rsid w:val="00D13122"/>
    <w:rsid w:val="00D21E44"/>
    <w:rsid w:val="00D3401A"/>
    <w:rsid w:val="00D71778"/>
    <w:rsid w:val="00D80DFA"/>
    <w:rsid w:val="00D81E8F"/>
    <w:rsid w:val="00D90707"/>
    <w:rsid w:val="00D93063"/>
    <w:rsid w:val="00D95C5A"/>
    <w:rsid w:val="00DA20E1"/>
    <w:rsid w:val="00DA3661"/>
    <w:rsid w:val="00DA43B3"/>
    <w:rsid w:val="00DA71E1"/>
    <w:rsid w:val="00DD767F"/>
    <w:rsid w:val="00DE2147"/>
    <w:rsid w:val="00DE3588"/>
    <w:rsid w:val="00DE47E6"/>
    <w:rsid w:val="00E13C60"/>
    <w:rsid w:val="00E24003"/>
    <w:rsid w:val="00E261EB"/>
    <w:rsid w:val="00E315AE"/>
    <w:rsid w:val="00E31F5B"/>
    <w:rsid w:val="00E3314E"/>
    <w:rsid w:val="00E357A0"/>
    <w:rsid w:val="00E447AC"/>
    <w:rsid w:val="00E641C9"/>
    <w:rsid w:val="00E72365"/>
    <w:rsid w:val="00E918A7"/>
    <w:rsid w:val="00E967D5"/>
    <w:rsid w:val="00EA6614"/>
    <w:rsid w:val="00EB3F7B"/>
    <w:rsid w:val="00EC146A"/>
    <w:rsid w:val="00EC3878"/>
    <w:rsid w:val="00ED4EB9"/>
    <w:rsid w:val="00ED68E4"/>
    <w:rsid w:val="00EE6553"/>
    <w:rsid w:val="00F10C89"/>
    <w:rsid w:val="00F143EC"/>
    <w:rsid w:val="00F2020A"/>
    <w:rsid w:val="00F2726D"/>
    <w:rsid w:val="00F36731"/>
    <w:rsid w:val="00F51546"/>
    <w:rsid w:val="00F677C8"/>
    <w:rsid w:val="00F75A42"/>
    <w:rsid w:val="00F829EB"/>
    <w:rsid w:val="00F863B3"/>
    <w:rsid w:val="00FA74C7"/>
    <w:rsid w:val="00FC2A94"/>
    <w:rsid w:val="00FC46FF"/>
    <w:rsid w:val="00FE56C9"/>
    <w:rsid w:val="00FE604B"/>
    <w:rsid w:val="00FF5509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b/>
      <w:bCs/>
      <w:i/>
    </w:rPr>
  </w:style>
  <w:style w:type="paragraph" w:styleId="2">
    <w:name w:val="heading 2"/>
    <w:basedOn w:val="a"/>
    <w:next w:val="a"/>
    <w:qFormat/>
    <w:pPr>
      <w:keepNext/>
      <w:ind w:firstLine="1200"/>
      <w:outlineLvl w:val="1"/>
    </w:pPr>
    <w:rPr>
      <w:b/>
      <w:bCs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4">
    <w:name w:val="Body Text Indent"/>
    <w:basedOn w:val="a"/>
    <w:pPr>
      <w:ind w:left="1440" w:hanging="1440"/>
    </w:pPr>
    <w:rPr>
      <w:rFonts w:eastAsia="標楷體"/>
    </w:rPr>
  </w:style>
  <w:style w:type="paragraph" w:styleId="20">
    <w:name w:val="Body Text Indent 2"/>
    <w:basedOn w:val="a"/>
    <w:pPr>
      <w:ind w:left="1440" w:hanging="1440"/>
    </w:pPr>
    <w:rPr>
      <w:rFonts w:eastAsia="標楷體"/>
      <w:b/>
      <w:bCs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A6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63E5F"/>
    <w:rPr>
      <w:kern w:val="2"/>
    </w:rPr>
  </w:style>
  <w:style w:type="paragraph" w:styleId="a9">
    <w:name w:val="footer"/>
    <w:basedOn w:val="a"/>
    <w:link w:val="aa"/>
    <w:rsid w:val="00A6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63E5F"/>
    <w:rPr>
      <w:kern w:val="2"/>
    </w:rPr>
  </w:style>
  <w:style w:type="character" w:styleId="ab">
    <w:name w:val="Strong"/>
    <w:basedOn w:val="a0"/>
    <w:uiPriority w:val="22"/>
    <w:qFormat/>
    <w:rsid w:val="0082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492">
      <w:bodyDiv w:val="1"/>
      <w:marLeft w:val="384"/>
      <w:marRight w:val="96"/>
      <w:marTop w:val="115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5911-BF9D-49A7-BFCF-BD67960F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第六屆口筆譯教學研討會議程</dc:title>
  <dc:creator>user</dc:creator>
  <cp:lastModifiedBy>Lee</cp:lastModifiedBy>
  <cp:revision>2</cp:revision>
  <cp:lastPrinted>2010-11-09T08:57:00Z</cp:lastPrinted>
  <dcterms:created xsi:type="dcterms:W3CDTF">2012-02-25T11:08:00Z</dcterms:created>
  <dcterms:modified xsi:type="dcterms:W3CDTF">2012-02-25T11:08:00Z</dcterms:modified>
</cp:coreProperties>
</file>