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338" w:rsidRPr="00BA43A0" w:rsidRDefault="00B21A4E" w:rsidP="00740338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Dr. P</w:t>
      </w:r>
      <w:r>
        <w:rPr>
          <w:color w:val="000000" w:themeColor="text1"/>
        </w:rPr>
        <w:t>aul Wong</w:t>
      </w:r>
      <w:r>
        <w:rPr>
          <w:rFonts w:hint="eastAsia"/>
          <w:color w:val="000000" w:themeColor="text1"/>
        </w:rPr>
        <w:t>之</w:t>
      </w:r>
      <w:r w:rsidR="00740338" w:rsidRPr="00BA43A0">
        <w:rPr>
          <w:rFonts w:hint="eastAsia"/>
          <w:color w:val="000000" w:themeColor="text1"/>
        </w:rPr>
        <w:t>意義療法</w:t>
      </w:r>
      <w:r w:rsidR="00740338" w:rsidRPr="00BA43A0">
        <w:rPr>
          <w:rFonts w:hint="eastAsia"/>
          <w:color w:val="000000" w:themeColor="text1"/>
        </w:rPr>
        <w:t>(MT)</w:t>
      </w:r>
      <w:r w:rsidR="00A9717F">
        <w:rPr>
          <w:rFonts w:hint="eastAsia"/>
          <w:color w:val="000000" w:themeColor="text1"/>
        </w:rPr>
        <w:t>在</w:t>
      </w:r>
      <w:r w:rsidR="00740338" w:rsidRPr="00BA43A0">
        <w:rPr>
          <w:rFonts w:hint="eastAsia"/>
          <w:color w:val="000000" w:themeColor="text1"/>
        </w:rPr>
        <w:t>台灣成人教育</w:t>
      </w:r>
      <w:bookmarkStart w:id="0" w:name="_GoBack"/>
      <w:bookmarkEnd w:id="0"/>
      <w:r w:rsidR="00740338" w:rsidRPr="00BA43A0">
        <w:rPr>
          <w:rFonts w:hint="eastAsia"/>
          <w:color w:val="000000" w:themeColor="text1"/>
        </w:rPr>
        <w:t>的</w:t>
      </w:r>
      <w:r w:rsidR="000C301C">
        <w:rPr>
          <w:rFonts w:hint="eastAsia"/>
          <w:color w:val="000000" w:themeColor="text1"/>
        </w:rPr>
        <w:t>運用</w:t>
      </w:r>
    </w:p>
    <w:p w:rsidR="00141BD1" w:rsidRDefault="00141BD1"/>
    <w:p w:rsidR="00592873" w:rsidRPr="00592873" w:rsidRDefault="00141BD1" w:rsidP="00592873">
      <w:r>
        <w:rPr>
          <w:rFonts w:hint="eastAsia"/>
        </w:rPr>
        <w:t xml:space="preserve"> </w:t>
      </w:r>
      <w:r w:rsidR="00592873">
        <w:rPr>
          <w:rFonts w:hint="eastAsia"/>
        </w:rPr>
        <w:t xml:space="preserve"> </w:t>
      </w:r>
      <w:r w:rsidR="00586D9F">
        <w:rPr>
          <w:rFonts w:hint="eastAsia"/>
        </w:rPr>
        <w:t xml:space="preserve"> </w:t>
      </w:r>
      <w:r w:rsidR="00592873">
        <w:rPr>
          <w:rFonts w:hint="eastAsia"/>
        </w:rPr>
        <w:t>正如奧地利意義治療</w:t>
      </w:r>
      <w:r w:rsidR="00592873">
        <w:rPr>
          <w:rFonts w:hint="eastAsia"/>
        </w:rPr>
        <w:t>(</w:t>
      </w:r>
      <w:r w:rsidR="00592873">
        <w:t xml:space="preserve">Logo </w:t>
      </w:r>
      <w:r w:rsidR="00592873">
        <w:rPr>
          <w:rFonts w:hint="eastAsia"/>
        </w:rPr>
        <w:t>T</w:t>
      </w:r>
      <w:r w:rsidR="00592873">
        <w:t>herapy</w:t>
      </w:r>
      <w:r w:rsidR="00592873">
        <w:rPr>
          <w:rFonts w:hint="eastAsia"/>
        </w:rPr>
        <w:t>)</w:t>
      </w:r>
      <w:r w:rsidR="00592873">
        <w:rPr>
          <w:rFonts w:hint="eastAsia"/>
        </w:rPr>
        <w:t>創立人維克法蘭可</w:t>
      </w:r>
      <w:r w:rsidR="00592873">
        <w:rPr>
          <w:rFonts w:hint="eastAsia"/>
        </w:rPr>
        <w:t>(Victor Frankl)</w:t>
      </w:r>
      <w:r w:rsidR="00592873">
        <w:rPr>
          <w:rFonts w:hint="eastAsia"/>
        </w:rPr>
        <w:t>所言</w:t>
      </w:r>
      <w:r w:rsidR="00592873">
        <w:rPr>
          <w:rFonts w:hint="eastAsia"/>
        </w:rPr>
        <w:t>:</w:t>
      </w:r>
      <w:r w:rsidR="000C301C" w:rsidRPr="00592873">
        <w:rPr>
          <w:rFonts w:hint="eastAsia"/>
        </w:rPr>
        <w:t>「人對意義的追尋是人生命的主要動機，</w:t>
      </w:r>
      <w:r w:rsidR="00592873">
        <w:rPr>
          <w:rFonts w:hint="eastAsia"/>
        </w:rPr>
        <w:t>而不是本能驅力的次要的合理化」</w:t>
      </w:r>
      <w:r w:rsidR="00592873" w:rsidRPr="00592873">
        <w:t xml:space="preserve">                                           </w:t>
      </w:r>
      <w:r w:rsidR="00592873" w:rsidRPr="00592873">
        <w:rPr>
          <w:rFonts w:hint="eastAsia"/>
        </w:rPr>
        <w:t>（</w:t>
      </w:r>
      <w:r w:rsidR="00592873" w:rsidRPr="00592873">
        <w:t>Frankl, 2006, p. 99</w:t>
      </w:r>
      <w:r w:rsidR="00592873" w:rsidRPr="00592873">
        <w:rPr>
          <w:rFonts w:hint="eastAsia"/>
        </w:rPr>
        <w:t>）</w:t>
      </w:r>
      <w:r w:rsidR="00592873">
        <w:rPr>
          <w:rFonts w:hint="eastAsia"/>
        </w:rPr>
        <w:t>。而提出並推動轉化學習</w:t>
      </w:r>
      <w:r w:rsidR="00592873">
        <w:rPr>
          <w:rFonts w:hint="eastAsia"/>
        </w:rPr>
        <w:t>(Transformative Learning)</w:t>
      </w:r>
      <w:r w:rsidR="00592873">
        <w:rPr>
          <w:rFonts w:hint="eastAsia"/>
        </w:rPr>
        <w:t>的成人教育者馬濟洛</w:t>
      </w:r>
      <w:r w:rsidR="007E1CD4">
        <w:rPr>
          <w:rFonts w:hint="eastAsia"/>
        </w:rPr>
        <w:t>(Jack Mezirow)</w:t>
      </w:r>
      <w:r w:rsidR="007E1CD4">
        <w:rPr>
          <w:rFonts w:hint="eastAsia"/>
        </w:rPr>
        <w:t>也指出，</w:t>
      </w:r>
      <w:r w:rsidR="000C301C" w:rsidRPr="00592873">
        <w:rPr>
          <w:rFonts w:hint="eastAsia"/>
        </w:rPr>
        <w:t>「人之所以為人就在於我們必須了解我們</w:t>
      </w:r>
      <w:r w:rsidR="00592873" w:rsidRPr="00592873">
        <w:rPr>
          <w:rFonts w:hint="eastAsia"/>
        </w:rPr>
        <w:t>經驗的意義」（</w:t>
      </w:r>
      <w:r w:rsidR="00592873" w:rsidRPr="00592873">
        <w:t>Mezirow, 1997, p. 5</w:t>
      </w:r>
      <w:r w:rsidR="00592873" w:rsidRPr="00592873">
        <w:rPr>
          <w:rFonts w:hint="eastAsia"/>
        </w:rPr>
        <w:t>）</w:t>
      </w:r>
      <w:r w:rsidR="00A3394F" w:rsidRPr="00592873">
        <w:rPr>
          <w:rFonts w:hint="eastAsia"/>
        </w:rPr>
        <w:t>。</w:t>
      </w:r>
      <w:r w:rsidR="00FB5DA7">
        <w:rPr>
          <w:rFonts w:hint="eastAsia"/>
        </w:rPr>
        <w:t>而自殺者選擇終結生命，也往往都是面臨生命意義感的蕩然無存</w:t>
      </w:r>
      <w:r w:rsidR="00120E80">
        <w:t>—</w:t>
      </w:r>
      <w:r w:rsidR="00120E80">
        <w:rPr>
          <w:rFonts w:hint="eastAsia"/>
        </w:rPr>
        <w:t>沒有甚麼他覺得值得活下去的理由</w:t>
      </w:r>
      <w:r w:rsidR="00FB5DA7">
        <w:rPr>
          <w:rFonts w:hint="eastAsia"/>
        </w:rPr>
        <w:t>。</w:t>
      </w:r>
      <w:r w:rsidR="00A3394F">
        <w:rPr>
          <w:rFonts w:hint="eastAsia"/>
        </w:rPr>
        <w:t>雖然意義的存在對我們的生命價值感</w:t>
      </w:r>
      <w:r w:rsidR="00FB5DA7">
        <w:rPr>
          <w:rFonts w:hint="eastAsia"/>
        </w:rPr>
        <w:t>受</w:t>
      </w:r>
      <w:r w:rsidR="00A3394F">
        <w:rPr>
          <w:rFonts w:hint="eastAsia"/>
        </w:rPr>
        <w:t>是如此關鍵，我們多半並不是那麼</w:t>
      </w:r>
      <w:r w:rsidR="00DC53EE">
        <w:rPr>
          <w:rFonts w:hint="eastAsia"/>
        </w:rPr>
        <w:t>敏覺於它對我們生命的主導力量。</w:t>
      </w:r>
      <w:r w:rsidR="00120E80">
        <w:rPr>
          <w:rFonts w:hint="eastAsia"/>
        </w:rPr>
        <w:t>因此，當生命面臨極大考驗時，往往受困於現實，而看不見意義</w:t>
      </w:r>
      <w:r w:rsidR="000C301C">
        <w:rPr>
          <w:rFonts w:hint="eastAsia"/>
        </w:rPr>
        <w:t>，因而陷入虛無、失望、乃至絕望之境</w:t>
      </w:r>
      <w:r w:rsidR="00120E80">
        <w:rPr>
          <w:rFonts w:hint="eastAsia"/>
        </w:rPr>
        <w:t>。</w:t>
      </w:r>
      <w:r w:rsidR="000C301C">
        <w:rPr>
          <w:rFonts w:hint="eastAsia"/>
        </w:rPr>
        <w:t>意義治療在此時可提供幫助</w:t>
      </w:r>
      <w:r w:rsidR="000360B4">
        <w:rPr>
          <w:rFonts w:hint="eastAsia"/>
        </w:rPr>
        <w:t>，</w:t>
      </w:r>
      <w:r w:rsidR="00B55340">
        <w:rPr>
          <w:rFonts w:hint="eastAsia"/>
        </w:rPr>
        <w:t>幫助人由重新發現意義、建構意義中，重燃生命的</w:t>
      </w:r>
      <w:r w:rsidR="00A9717F">
        <w:rPr>
          <w:rFonts w:hint="eastAsia"/>
        </w:rPr>
        <w:t>希望與</w:t>
      </w:r>
      <w:r w:rsidR="00B55340">
        <w:rPr>
          <w:rFonts w:hint="eastAsia"/>
        </w:rPr>
        <w:t>光彩</w:t>
      </w:r>
      <w:r w:rsidR="000C301C">
        <w:rPr>
          <w:rFonts w:hint="eastAsia"/>
        </w:rPr>
        <w:t>。然而在成人教育領域的論述</w:t>
      </w:r>
      <w:r w:rsidR="00B55340">
        <w:rPr>
          <w:rFonts w:hint="eastAsia"/>
        </w:rPr>
        <w:t>裡</w:t>
      </w:r>
      <w:r w:rsidR="000C301C">
        <w:rPr>
          <w:rFonts w:hint="eastAsia"/>
        </w:rPr>
        <w:t>與意義治療勾連的論述並不多見，而在華藝線上圖書館的搜尋，若輸入成人教育及意義治療，是沒有結果的。因而，筆者感到這部分是有待耕耘的園地。</w:t>
      </w:r>
    </w:p>
    <w:p w:rsidR="00BA43A0" w:rsidRDefault="000360B4" w:rsidP="00586D9F">
      <w:pPr>
        <w:ind w:firstLineChars="200" w:firstLine="480"/>
      </w:pPr>
      <w:r>
        <w:rPr>
          <w:rFonts w:hint="eastAsia"/>
        </w:rPr>
        <w:t>本文擬以文獻探討方式，搜尋近</w:t>
      </w:r>
      <w:r>
        <w:rPr>
          <w:rFonts w:hint="eastAsia"/>
        </w:rPr>
        <w:t>20</w:t>
      </w:r>
      <w:r>
        <w:rPr>
          <w:rFonts w:hint="eastAsia"/>
        </w:rPr>
        <w:t>年之本土成人教育文獻</w:t>
      </w:r>
      <w:r w:rsidR="00B55340">
        <w:rPr>
          <w:rFonts w:hint="eastAsia"/>
        </w:rPr>
        <w:t>，嘗試從文獻分析中，找出雖無意義治療</w:t>
      </w:r>
      <w:r w:rsidR="00172529">
        <w:rPr>
          <w:rFonts w:hint="eastAsia"/>
        </w:rPr>
        <w:t>之</w:t>
      </w:r>
      <w:r w:rsidR="00B55340">
        <w:rPr>
          <w:rFonts w:hint="eastAsia"/>
        </w:rPr>
        <w:t>名，但有意義治療成分之論述或實務，並從此基礎上建議可行的發展方向。在文獻探討之過程中，詮釋學的理解原則是</w:t>
      </w:r>
      <w:r w:rsidR="0063238C">
        <w:rPr>
          <w:rFonts w:hint="eastAsia"/>
        </w:rPr>
        <w:t>本研究</w:t>
      </w:r>
      <w:r w:rsidR="00B55340">
        <w:rPr>
          <w:rFonts w:hint="eastAsia"/>
        </w:rPr>
        <w:t>理論</w:t>
      </w:r>
      <w:r w:rsidR="00172529">
        <w:rPr>
          <w:rFonts w:hint="eastAsia"/>
        </w:rPr>
        <w:t>上的指導原則</w:t>
      </w:r>
      <w:r w:rsidR="00B55340">
        <w:rPr>
          <w:rFonts w:hint="eastAsia"/>
        </w:rPr>
        <w:t>。</w:t>
      </w:r>
    </w:p>
    <w:p w:rsidR="00BA43A0" w:rsidRDefault="0063238C">
      <w:r>
        <w:rPr>
          <w:rFonts w:hint="eastAsia"/>
          <w:b/>
        </w:rPr>
        <w:t xml:space="preserve">   </w:t>
      </w:r>
      <w:r w:rsidR="007117E6">
        <w:rPr>
          <w:rFonts w:hint="eastAsia"/>
        </w:rPr>
        <w:t xml:space="preserve"> </w:t>
      </w:r>
      <w:r w:rsidR="0053012F">
        <w:rPr>
          <w:rFonts w:hint="eastAsia"/>
        </w:rPr>
        <w:t>雖然成人教育中與意義治療的勾連不多見，然仍可見到在教育活動實務現場有以創造性</w:t>
      </w:r>
      <w:r w:rsidR="009B3ED4">
        <w:rPr>
          <w:rFonts w:hint="eastAsia"/>
        </w:rPr>
        <w:t>價值</w:t>
      </w:r>
      <w:r w:rsidR="0053012F">
        <w:rPr>
          <w:rFonts w:hint="eastAsia"/>
        </w:rPr>
        <w:t>、經驗性</w:t>
      </w:r>
      <w:r w:rsidR="009B3ED4">
        <w:rPr>
          <w:rFonts w:hint="eastAsia"/>
        </w:rPr>
        <w:t>價值</w:t>
      </w:r>
      <w:r w:rsidR="0053012F">
        <w:rPr>
          <w:rFonts w:hint="eastAsia"/>
        </w:rPr>
        <w:t>、及</w:t>
      </w:r>
      <w:r w:rsidR="009B3ED4">
        <w:rPr>
          <w:rFonts w:hint="eastAsia"/>
        </w:rPr>
        <w:t>態度性價值幫助學習者重新建構意義的教學活動，例如高齡者藝術創作活動、高齡者懷舊活動，及為數較多的以正向心理為主軸的</w:t>
      </w:r>
      <w:r w:rsidR="00172529">
        <w:rPr>
          <w:rFonts w:hint="eastAsia"/>
        </w:rPr>
        <w:t>不同面向的</w:t>
      </w:r>
      <w:r w:rsidR="009B3ED4">
        <w:rPr>
          <w:rFonts w:hint="eastAsia"/>
        </w:rPr>
        <w:t>學習活動。</w:t>
      </w:r>
    </w:p>
    <w:p w:rsidR="00D13C0E" w:rsidRDefault="0063238C">
      <w:r>
        <w:rPr>
          <w:rFonts w:hint="eastAsia"/>
        </w:rPr>
        <w:t xml:space="preserve">    </w:t>
      </w:r>
      <w:r w:rsidR="009B3ED4">
        <w:rPr>
          <w:rFonts w:hint="eastAsia"/>
        </w:rPr>
        <w:t>透過對意義治療理論的了解，</w:t>
      </w:r>
      <w:r w:rsidR="00D13C0E">
        <w:rPr>
          <w:rFonts w:hint="eastAsia"/>
        </w:rPr>
        <w:t>可幫助</w:t>
      </w:r>
      <w:r w:rsidR="009B3ED4">
        <w:rPr>
          <w:rFonts w:hint="eastAsia"/>
        </w:rPr>
        <w:t>成人教育者</w:t>
      </w:r>
      <w:r w:rsidR="00D13C0E">
        <w:rPr>
          <w:rFonts w:hint="eastAsia"/>
        </w:rPr>
        <w:t>在現有的教學實踐中更深化教學活動的意義，而意義治療對人的認知，亦有助開發新的教學素材及活動。</w:t>
      </w:r>
    </w:p>
    <w:p w:rsidR="0099753C" w:rsidRDefault="003A64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就如推動第二波正向心理學理論與實務工作不遺餘力的華裔</w:t>
      </w:r>
      <w:r w:rsidR="00E71D6F">
        <w:rPr>
          <w:rFonts w:ascii="Times New Roman" w:hAnsi="Times New Roman" w:cs="Times New Roman" w:hint="eastAsia"/>
        </w:rPr>
        <w:t>學者</w:t>
      </w:r>
      <w:r>
        <w:rPr>
          <w:rFonts w:ascii="Times New Roman" w:hAnsi="Times New Roman" w:cs="Times New Roman" w:hint="eastAsia"/>
        </w:rPr>
        <w:t>王寶載</w:t>
      </w:r>
      <w:r w:rsidR="003330C0">
        <w:rPr>
          <w:rFonts w:ascii="Times New Roman" w:hAnsi="Times New Roman" w:cs="Times New Roman" w:hint="eastAsia"/>
        </w:rPr>
        <w:t>(2012)</w:t>
      </w:r>
      <w:r>
        <w:rPr>
          <w:rFonts w:ascii="Times New Roman" w:hAnsi="Times New Roman" w:cs="Times New Roman" w:hint="eastAsia"/>
        </w:rPr>
        <w:t>教授所呼籲的，教育領域，當然</w:t>
      </w:r>
      <w:r w:rsidR="00703FB2">
        <w:rPr>
          <w:rFonts w:ascii="Times New Roman" w:hAnsi="Times New Roman" w:cs="Times New Roman" w:hint="eastAsia"/>
        </w:rPr>
        <w:t>涵括成人教育領域，</w:t>
      </w:r>
      <w:r w:rsidR="0099753C">
        <w:rPr>
          <w:rFonts w:asciiTheme="minorEastAsia" w:hAnsiTheme="minorEastAsia" w:cs="Times New Roman" w:hint="eastAsia"/>
        </w:rPr>
        <w:t>「</w:t>
      </w:r>
      <w:r w:rsidR="00703FB2">
        <w:rPr>
          <w:rFonts w:ascii="Times New Roman" w:hAnsi="Times New Roman" w:cs="Times New Roman" w:hint="eastAsia"/>
        </w:rPr>
        <w:t>可以發動更草根的行動，教導人們負責、</w:t>
      </w:r>
      <w:r w:rsidR="003330C0">
        <w:rPr>
          <w:rFonts w:ascii="Times New Roman" w:hAnsi="Times New Roman" w:cs="Times New Roman" w:hint="eastAsia"/>
        </w:rPr>
        <w:t>及</w:t>
      </w:r>
      <w:r w:rsidR="00703FB2">
        <w:rPr>
          <w:rFonts w:ascii="Times New Roman" w:hAnsi="Times New Roman" w:cs="Times New Roman" w:hint="eastAsia"/>
        </w:rPr>
        <w:t>有目的</w:t>
      </w:r>
      <w:r w:rsidR="003330C0">
        <w:rPr>
          <w:rFonts w:ascii="Times New Roman" w:hAnsi="Times New Roman" w:cs="Times New Roman" w:hint="eastAsia"/>
        </w:rPr>
        <w:t>性</w:t>
      </w:r>
      <w:r w:rsidR="00703FB2">
        <w:rPr>
          <w:rFonts w:ascii="Times New Roman" w:hAnsi="Times New Roman" w:cs="Times New Roman" w:hint="eastAsia"/>
        </w:rPr>
        <w:t>的生活的重要性</w:t>
      </w:r>
      <w:r w:rsidR="0099753C">
        <w:rPr>
          <w:rFonts w:ascii="Times New Roman" w:hAnsi="Times New Roman" w:cs="Times New Roman" w:hint="eastAsia"/>
        </w:rPr>
        <w:t xml:space="preserve"> (p. 19)</w:t>
      </w:r>
      <w:r w:rsidR="00703FB2">
        <w:rPr>
          <w:rFonts w:ascii="Times New Roman" w:hAnsi="Times New Roman" w:cs="Times New Roman" w:hint="eastAsia"/>
        </w:rPr>
        <w:t>。</w:t>
      </w:r>
      <w:r w:rsidR="0099753C">
        <w:rPr>
          <w:rFonts w:asciiTheme="minorEastAsia" w:hAnsiTheme="minorEastAsia" w:cs="Times New Roman" w:hint="eastAsia"/>
        </w:rPr>
        <w:t>」</w:t>
      </w:r>
      <w:r w:rsidR="00703FB2">
        <w:rPr>
          <w:rFonts w:ascii="Times New Roman" w:hAnsi="Times New Roman" w:cs="Times New Roman" w:hint="eastAsia"/>
        </w:rPr>
        <w:t>我認為成人教育者在回應這樣的呼召上可以扮演重要角色。而王博士非但登高一呼，更與其他意義治療領域的貢獻者，擬出了以意義為基礎的教育架構。</w:t>
      </w:r>
    </w:p>
    <w:p w:rsidR="0099753C" w:rsidRDefault="0099753C">
      <w:pPr>
        <w:rPr>
          <w:rFonts w:ascii="Times New Roman" w:hAnsi="Times New Roman" w:cs="Times New Roman"/>
        </w:rPr>
      </w:pPr>
    </w:p>
    <w:p w:rsidR="002F66B4" w:rsidRDefault="002F66B4">
      <w:r w:rsidRPr="00A3394F">
        <w:rPr>
          <w:rFonts w:hint="eastAsia"/>
          <w:b/>
        </w:rPr>
        <w:t>關鍵字</w:t>
      </w:r>
      <w:r>
        <w:rPr>
          <w:rFonts w:hint="eastAsia"/>
        </w:rPr>
        <w:t xml:space="preserve">: </w:t>
      </w:r>
      <w:r>
        <w:rPr>
          <w:rFonts w:hint="eastAsia"/>
        </w:rPr>
        <w:t>成人教育、意義療法、</w:t>
      </w:r>
      <w:r w:rsidR="00D13C0E">
        <w:rPr>
          <w:rFonts w:hint="eastAsia"/>
        </w:rPr>
        <w:t>高齡學習、正向心理</w:t>
      </w:r>
      <w:r w:rsidR="00E71D6F">
        <w:rPr>
          <w:rFonts w:hint="eastAsia"/>
        </w:rPr>
        <w:t>學、第二波正向心理學</w:t>
      </w:r>
    </w:p>
    <w:p w:rsidR="00D50E08" w:rsidRDefault="00D50E08">
      <w:pPr>
        <w:rPr>
          <w:b/>
        </w:rPr>
      </w:pPr>
    </w:p>
    <w:p w:rsidR="00D50E08" w:rsidRPr="00EE23C3" w:rsidRDefault="00D50E08">
      <w:pPr>
        <w:rPr>
          <w:b/>
        </w:rPr>
      </w:pPr>
      <w:r w:rsidRPr="00EE23C3">
        <w:rPr>
          <w:rFonts w:hint="eastAsia"/>
          <w:b/>
        </w:rPr>
        <w:t>參考文獻</w:t>
      </w:r>
    </w:p>
    <w:p w:rsidR="00D50E08" w:rsidRDefault="00D50E08">
      <w:r>
        <w:rPr>
          <w:rFonts w:hint="eastAsia"/>
        </w:rPr>
        <w:t>Frankl, V.</w:t>
      </w:r>
      <w:r w:rsidR="008C2053">
        <w:rPr>
          <w:rFonts w:hint="eastAsia"/>
        </w:rPr>
        <w:t xml:space="preserve"> E. (2006). </w:t>
      </w:r>
      <w:r w:rsidR="008C2053" w:rsidRPr="008C2053">
        <w:rPr>
          <w:rFonts w:hint="eastAsia"/>
          <w:i/>
        </w:rPr>
        <w:t>Men</w:t>
      </w:r>
      <w:r w:rsidR="008C2053" w:rsidRPr="008C2053">
        <w:rPr>
          <w:i/>
        </w:rPr>
        <w:t>’</w:t>
      </w:r>
      <w:r w:rsidR="008C2053" w:rsidRPr="008C2053">
        <w:rPr>
          <w:rFonts w:hint="eastAsia"/>
          <w:i/>
        </w:rPr>
        <w:t>s search for meaning.</w:t>
      </w:r>
      <w:r w:rsidR="008C2053">
        <w:rPr>
          <w:rFonts w:hint="eastAsia"/>
        </w:rPr>
        <w:t xml:space="preserve"> Boston, MA: Beacon.</w:t>
      </w:r>
    </w:p>
    <w:p w:rsidR="008C2053" w:rsidRDefault="008C2053">
      <w:r>
        <w:rPr>
          <w:rFonts w:hint="eastAsia"/>
        </w:rPr>
        <w:t xml:space="preserve">Mezirow, J. (1997). </w:t>
      </w:r>
      <w:r w:rsidRPr="003A64E5">
        <w:rPr>
          <w:rFonts w:hint="eastAsia"/>
          <w:i/>
        </w:rPr>
        <w:t>Transformative dimension of adult learning</w:t>
      </w:r>
      <w:r>
        <w:rPr>
          <w:rFonts w:hint="eastAsia"/>
        </w:rPr>
        <w:t xml:space="preserve">. Sanfrancisco, CA: </w:t>
      </w:r>
    </w:p>
    <w:p w:rsidR="008C2053" w:rsidRDefault="008C2053" w:rsidP="008C2053">
      <w:pPr>
        <w:ind w:firstLineChars="200" w:firstLine="480"/>
      </w:pPr>
      <w:r>
        <w:rPr>
          <w:rFonts w:hint="eastAsia"/>
        </w:rPr>
        <w:t>Jossey-Bass.</w:t>
      </w:r>
    </w:p>
    <w:p w:rsidR="0063238C" w:rsidRPr="0063238C" w:rsidRDefault="0063238C" w:rsidP="0063238C">
      <w:pPr>
        <w:rPr>
          <w:rFonts w:cstheme="minorHAnsi"/>
        </w:rPr>
      </w:pPr>
      <w:r w:rsidRPr="0063238C">
        <w:rPr>
          <w:rFonts w:cstheme="minorHAnsi"/>
        </w:rPr>
        <w:t xml:space="preserve">Wong, Paul T. P. (2012). </w:t>
      </w:r>
      <w:r w:rsidRPr="0063238C">
        <w:rPr>
          <w:rFonts w:cstheme="minorHAnsi"/>
          <w:i/>
        </w:rPr>
        <w:t>The human quest for meaning</w:t>
      </w:r>
      <w:r w:rsidRPr="0063238C">
        <w:rPr>
          <w:rFonts w:cstheme="minorHAnsi"/>
        </w:rPr>
        <w:t xml:space="preserve"> (2</w:t>
      </w:r>
      <w:r w:rsidRPr="0063238C">
        <w:rPr>
          <w:rFonts w:cstheme="minorHAnsi"/>
          <w:vertAlign w:val="superscript"/>
        </w:rPr>
        <w:t>nd</w:t>
      </w:r>
      <w:r w:rsidRPr="0063238C">
        <w:rPr>
          <w:rFonts w:cstheme="minorHAnsi"/>
        </w:rPr>
        <w:t xml:space="preserve">. ed.).  New York, NY: </w:t>
      </w:r>
    </w:p>
    <w:p w:rsidR="0063238C" w:rsidRDefault="0063238C" w:rsidP="005675DE">
      <w:pPr>
        <w:ind w:firstLineChars="200" w:firstLine="480"/>
      </w:pPr>
      <w:r w:rsidRPr="0063238C">
        <w:rPr>
          <w:rFonts w:cstheme="minorHAnsi"/>
        </w:rPr>
        <w:t xml:space="preserve">Routledge. </w:t>
      </w:r>
      <w:r>
        <w:rPr>
          <w:rFonts w:hint="eastAsia"/>
        </w:rPr>
        <w:t xml:space="preserve">  </w:t>
      </w:r>
    </w:p>
    <w:p w:rsidR="005675DE" w:rsidRPr="00CF6B2D" w:rsidRDefault="005675DE" w:rsidP="005675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徐秀菊</w:t>
      </w:r>
    </w:p>
    <w:p w:rsidR="005675DE" w:rsidRPr="00CF6B2D" w:rsidRDefault="005675DE" w:rsidP="005675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吳甦樂教育中心</w:t>
      </w:r>
    </w:p>
    <w:p w:rsidR="005675DE" w:rsidRPr="00CF6B2D" w:rsidRDefault="005675DE" w:rsidP="005675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文藻外語大學</w:t>
      </w:r>
    </w:p>
    <w:p w:rsidR="005675DE" w:rsidRPr="008C2053" w:rsidRDefault="005675DE" w:rsidP="005675DE">
      <w:pPr>
        <w:ind w:firstLineChars="200" w:firstLine="480"/>
      </w:pPr>
    </w:p>
    <w:sectPr w:rsidR="005675DE" w:rsidRPr="008C20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D9F" w:rsidRDefault="00586D9F" w:rsidP="00586D9F">
      <w:r>
        <w:separator/>
      </w:r>
    </w:p>
  </w:endnote>
  <w:endnote w:type="continuationSeparator" w:id="0">
    <w:p w:rsidR="00586D9F" w:rsidRDefault="00586D9F" w:rsidP="0058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D9F" w:rsidRDefault="00586D9F" w:rsidP="00586D9F">
      <w:r>
        <w:separator/>
      </w:r>
    </w:p>
  </w:footnote>
  <w:footnote w:type="continuationSeparator" w:id="0">
    <w:p w:rsidR="00586D9F" w:rsidRDefault="00586D9F" w:rsidP="00586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78B9"/>
    <w:multiLevelType w:val="hybridMultilevel"/>
    <w:tmpl w:val="44469F76"/>
    <w:lvl w:ilvl="0" w:tplc="20E42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406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0E6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580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F87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88C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643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121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361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96C3D21"/>
    <w:multiLevelType w:val="hybridMultilevel"/>
    <w:tmpl w:val="B40CA518"/>
    <w:lvl w:ilvl="0" w:tplc="F648D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026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182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CD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807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A23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507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A7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E0B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38"/>
    <w:rsid w:val="000360B4"/>
    <w:rsid w:val="000C301C"/>
    <w:rsid w:val="00120E80"/>
    <w:rsid w:val="00141BD1"/>
    <w:rsid w:val="00172529"/>
    <w:rsid w:val="00214E43"/>
    <w:rsid w:val="002F66B4"/>
    <w:rsid w:val="003330C0"/>
    <w:rsid w:val="003A64E5"/>
    <w:rsid w:val="0053012F"/>
    <w:rsid w:val="005675DE"/>
    <w:rsid w:val="00586D9F"/>
    <w:rsid w:val="00592873"/>
    <w:rsid w:val="0063238C"/>
    <w:rsid w:val="00703FB2"/>
    <w:rsid w:val="007117E6"/>
    <w:rsid w:val="00740338"/>
    <w:rsid w:val="007E1CD4"/>
    <w:rsid w:val="008C2053"/>
    <w:rsid w:val="0099753C"/>
    <w:rsid w:val="009B3ED4"/>
    <w:rsid w:val="00A3394F"/>
    <w:rsid w:val="00A66D8C"/>
    <w:rsid w:val="00A9717F"/>
    <w:rsid w:val="00AE1777"/>
    <w:rsid w:val="00B21A4E"/>
    <w:rsid w:val="00B55340"/>
    <w:rsid w:val="00BA43A0"/>
    <w:rsid w:val="00D13C0E"/>
    <w:rsid w:val="00D50E08"/>
    <w:rsid w:val="00DC53EE"/>
    <w:rsid w:val="00E71D6F"/>
    <w:rsid w:val="00EE23C3"/>
    <w:rsid w:val="00FB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D9D4F4"/>
  <w15:docId w15:val="{7C7C1E0C-1A92-4A42-A799-61C04FC6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873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86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6D9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6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6D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4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2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Wenzao</cp:lastModifiedBy>
  <cp:revision>3</cp:revision>
  <dcterms:created xsi:type="dcterms:W3CDTF">2020-10-14T08:46:00Z</dcterms:created>
  <dcterms:modified xsi:type="dcterms:W3CDTF">2020-11-09T13:01:00Z</dcterms:modified>
</cp:coreProperties>
</file>